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5B22" w:rsidRPr="003C35B5" w:rsidRDefault="00275B22">
      <w:pPr>
        <w:spacing w:before="0" w:line="240" w:lineRule="auto"/>
        <w:jc w:val="center"/>
        <w:rPr>
          <w:b/>
        </w:rPr>
      </w:pPr>
      <w:r w:rsidRPr="003C35B5">
        <w:rPr>
          <w:b/>
        </w:rPr>
        <w:t>PUC DOCKET NO</w:t>
      </w:r>
      <w:proofErr w:type="gramStart"/>
      <w:r w:rsidRPr="003C35B5">
        <w:rPr>
          <w:b/>
        </w:rPr>
        <w:t xml:space="preserve">. </w:t>
      </w:r>
      <w:proofErr w:type="gramEnd"/>
      <w:r w:rsidR="002A67F6">
        <w:rPr>
          <w:b/>
        </w:rPr>
        <w:t>45702</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A67F6" w:rsidRPr="003C35B5">
        <w:tc>
          <w:tcPr>
            <w:tcW w:w="4698" w:type="dxa"/>
          </w:tcPr>
          <w:p w:rsidR="002A67F6" w:rsidRPr="000E502A" w:rsidRDefault="002A67F6" w:rsidP="002A67F6">
            <w:pPr>
              <w:spacing w:before="0" w:line="240" w:lineRule="auto"/>
              <w:contextualSpacing/>
            </w:pPr>
            <w:r w:rsidRPr="000E502A">
              <w:rPr>
                <w:b/>
              </w:rPr>
              <w:t>APPLICATION OF CITY OF CIBOLO FOR SINGLE CERTIFICATION IN INCORPORATED AREA AND TO DECERTIFY PORTIONS OF GREEN VALLEY SPECIAL UTILITY DISCTRICT’S SEWER CERTIFICATE OF CONVENIENCE AND NECESSITY IN GUADALUPE COUNTY</w:t>
            </w:r>
          </w:p>
        </w:tc>
        <w:tc>
          <w:tcPr>
            <w:tcW w:w="360" w:type="dxa"/>
          </w:tcPr>
          <w:p w:rsidR="002A67F6" w:rsidRPr="000E502A" w:rsidRDefault="002A67F6" w:rsidP="002A67F6">
            <w:pPr>
              <w:spacing w:before="0" w:line="240" w:lineRule="auto"/>
              <w:ind w:right="576"/>
              <w:contextualSpacing/>
              <w:rPr>
                <w:b/>
              </w:rPr>
            </w:pPr>
            <w:r w:rsidRPr="000E502A">
              <w:rPr>
                <w:b/>
              </w:rPr>
              <w:t>§§§§§§§§</w:t>
            </w:r>
          </w:p>
        </w:tc>
        <w:tc>
          <w:tcPr>
            <w:tcW w:w="4518" w:type="dxa"/>
          </w:tcPr>
          <w:p w:rsidR="002A67F6" w:rsidRPr="000E502A" w:rsidRDefault="002A67F6" w:rsidP="002A67F6">
            <w:pPr>
              <w:spacing w:before="0" w:line="240" w:lineRule="auto"/>
              <w:contextualSpacing/>
              <w:jc w:val="center"/>
              <w:rPr>
                <w:b/>
              </w:rPr>
            </w:pPr>
            <w:r w:rsidRPr="000E502A">
              <w:rPr>
                <w:b/>
              </w:rPr>
              <w:t>PUBLIC UTILITY COMMISSION</w:t>
            </w:r>
          </w:p>
          <w:p w:rsidR="002A67F6" w:rsidRPr="000E502A" w:rsidRDefault="002A67F6" w:rsidP="002A67F6">
            <w:pPr>
              <w:spacing w:before="0" w:line="240" w:lineRule="auto"/>
              <w:contextualSpacing/>
              <w:jc w:val="center"/>
              <w:rPr>
                <w:b/>
              </w:rPr>
            </w:pPr>
          </w:p>
          <w:p w:rsidR="002A67F6" w:rsidRPr="000E502A" w:rsidRDefault="002A67F6" w:rsidP="002A67F6">
            <w:pPr>
              <w:spacing w:before="0" w:line="240" w:lineRule="auto"/>
              <w:contextualSpacing/>
              <w:jc w:val="center"/>
              <w:rPr>
                <w:b/>
              </w:rPr>
            </w:pPr>
            <w:r w:rsidRPr="000E502A">
              <w:rPr>
                <w:b/>
              </w:rPr>
              <w:t>OF TEXAS</w:t>
            </w:r>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5B3219">
      <w:pPr>
        <w:spacing w:before="0"/>
        <w:jc w:val="center"/>
      </w:pPr>
      <w:r>
        <w:rPr>
          <w:b/>
        </w:rPr>
        <w:t xml:space="preserve">DRAFT </w:t>
      </w:r>
      <w:r w:rsidR="00A90DC2">
        <w:rPr>
          <w:b/>
        </w:rPr>
        <w:t xml:space="preserve">SUPPLEMENTAL </w:t>
      </w:r>
      <w:r w:rsidR="00275B22" w:rsidRPr="003C35B5">
        <w:rPr>
          <w:b/>
        </w:rPr>
        <w:t>PRELIMINARY ORDER</w:t>
      </w:r>
    </w:p>
    <w:p w:rsidR="00275B22" w:rsidRPr="003C35B5" w:rsidRDefault="00275B22">
      <w:pPr>
        <w:spacing w:before="0"/>
        <w:jc w:val="center"/>
        <w:rPr>
          <w:b/>
        </w:rPr>
      </w:pPr>
    </w:p>
    <w:p w:rsidR="002A67F6" w:rsidRPr="002A67F6" w:rsidRDefault="00275B22" w:rsidP="00E90AFD">
      <w:pPr>
        <w:pStyle w:val="BodyText"/>
      </w:pPr>
      <w:r w:rsidRPr="003C35B5">
        <w:rPr>
          <w:b/>
        </w:rPr>
        <w:tab/>
      </w:r>
      <w:r w:rsidR="002A67F6" w:rsidRPr="002A67F6">
        <w:t xml:space="preserve">On March 8, 2016, the city of Cibolo </w:t>
      </w:r>
      <w:r w:rsidR="003A2038">
        <w:t xml:space="preserve">initiated this proceeding by </w:t>
      </w:r>
      <w:r w:rsidR="002A67F6" w:rsidRPr="002A67F6">
        <w:t>fil</w:t>
      </w:r>
      <w:r w:rsidR="003A2038">
        <w:t>ing</w:t>
      </w:r>
      <w:r w:rsidR="002A67F6" w:rsidRPr="002A67F6">
        <w:t xml:space="preserve"> an application seeking single certification of a sewer service area within Cibolo’s corporate limits and decertification of that portion of Green Valley Special Utility District's sewer certificate of convenience and necessity (CCN), under Texas Water Code (TWC) § 13.255 and 16 Texas Administrative Code (TAC) § 24.120.  </w:t>
      </w:r>
    </w:p>
    <w:p w:rsidR="00275B22" w:rsidRDefault="005D51D3" w:rsidP="00E90AFD">
      <w:pPr>
        <w:pStyle w:val="BodyText"/>
        <w:ind w:firstLine="720"/>
      </w:pPr>
      <w:r>
        <w:t>At an open meeting on</w:t>
      </w:r>
      <w:r w:rsidR="00DC241F" w:rsidRPr="003A2038">
        <w:t xml:space="preserve"> </w:t>
      </w:r>
      <w:r>
        <w:t>June 29</w:t>
      </w:r>
      <w:r w:rsidR="00DC241F" w:rsidRPr="003A2038">
        <w:t xml:space="preserve">, </w:t>
      </w:r>
      <w:r>
        <w:t xml:space="preserve">2016, </w:t>
      </w:r>
      <w:r w:rsidR="00DC241F" w:rsidRPr="003A2038">
        <w:t xml:space="preserve">the Commission </w:t>
      </w:r>
      <w:r>
        <w:t>voted to adopt</w:t>
      </w:r>
      <w:r w:rsidR="00DC241F" w:rsidRPr="003A2038">
        <w:t xml:space="preserve"> a </w:t>
      </w:r>
      <w:r w:rsidR="00030AF1">
        <w:t>p</w:t>
      </w:r>
      <w:r w:rsidR="003A2038" w:rsidRPr="003A2038">
        <w:t xml:space="preserve">reliminary </w:t>
      </w:r>
      <w:r w:rsidR="00030AF1">
        <w:t>o</w:t>
      </w:r>
      <w:r w:rsidR="00DC241F" w:rsidRPr="003A2038">
        <w:t>rder</w:t>
      </w:r>
      <w:r>
        <w:t xml:space="preserve"> in this proceeding</w:t>
      </w:r>
      <w:r w:rsidR="003A2038" w:rsidRPr="003A2038">
        <w:t>, after considering proposed</w:t>
      </w:r>
      <w:r w:rsidR="00DC241F" w:rsidRPr="003A2038">
        <w:t xml:space="preserve"> list</w:t>
      </w:r>
      <w:r w:rsidR="003A2038" w:rsidRPr="003A2038">
        <w:t>s</w:t>
      </w:r>
      <w:r w:rsidR="00DC241F" w:rsidRPr="003A2038">
        <w:t xml:space="preserve"> of issues </w:t>
      </w:r>
      <w:r w:rsidR="003A2038" w:rsidRPr="003A2038">
        <w:t xml:space="preserve">filed by </w:t>
      </w:r>
      <w:r w:rsidR="00DC241F" w:rsidRPr="003A2038">
        <w:t>Cibolo, Green Valley, and Commission Staff</w:t>
      </w:r>
      <w:r w:rsidR="003A2038" w:rsidRPr="003A2038">
        <w:t>, as well as</w:t>
      </w:r>
      <w:r w:rsidR="00DC241F" w:rsidRPr="003A2038">
        <w:t xml:space="preserve"> </w:t>
      </w:r>
      <w:r w:rsidR="003A2038" w:rsidRPr="003A2038">
        <w:t xml:space="preserve">briefing on threshold issues from </w:t>
      </w:r>
      <w:r w:rsidR="00E722B1" w:rsidRPr="003A2038">
        <w:t>Cibolo, Green Valley, Commission Staff</w:t>
      </w:r>
      <w:r w:rsidR="003A2038" w:rsidRPr="003A2038">
        <w:t>, and the Texas Municipal League.</w:t>
      </w:r>
    </w:p>
    <w:p w:rsidR="003A2038" w:rsidRDefault="003A2038" w:rsidP="005D51D3">
      <w:pPr>
        <w:pStyle w:val="BodyText"/>
        <w:ind w:firstLine="720"/>
      </w:pPr>
      <w:r w:rsidRPr="005D51D3">
        <w:t xml:space="preserve">During the same open meeting </w:t>
      </w:r>
      <w:r w:rsidR="00030AF1">
        <w:t>in</w:t>
      </w:r>
      <w:r w:rsidRPr="005D51D3">
        <w:t xml:space="preserve"> which the Commission adopted the </w:t>
      </w:r>
      <w:r w:rsidR="00030AF1">
        <w:t>p</w:t>
      </w:r>
      <w:r w:rsidRPr="005D51D3">
        <w:t xml:space="preserve">reliminary </w:t>
      </w:r>
      <w:r w:rsidR="00030AF1">
        <w:t>o</w:t>
      </w:r>
      <w:r w:rsidRPr="005D51D3">
        <w:t>rder in this proceeding, the Commission also decided in a different proceeding, Docket No.</w:t>
      </w:r>
      <w:r w:rsidR="00051191" w:rsidRPr="005D51D3">
        <w:t> </w:t>
      </w:r>
      <w:r w:rsidRPr="005D51D3">
        <w:t>45679</w:t>
      </w:r>
      <w:r w:rsidR="00051191" w:rsidRPr="005D51D3">
        <w:t>,</w:t>
      </w:r>
      <w:r w:rsidR="00030AF1">
        <w:rPr>
          <w:rStyle w:val="FootnoteReference"/>
        </w:rPr>
        <w:footnoteReference w:id="1"/>
      </w:r>
      <w:r w:rsidR="00051191" w:rsidRPr="005D51D3">
        <w:t xml:space="preserve"> that </w:t>
      </w:r>
      <w:r w:rsidR="005D51D3" w:rsidRPr="005D51D3">
        <w:t>TWC § 13.254(d) explicitly tasks the Commission with determining what property has</w:t>
      </w:r>
      <w:r w:rsidR="005D51D3">
        <w:t xml:space="preserve"> </w:t>
      </w:r>
      <w:r w:rsidR="005D51D3" w:rsidRPr="005D51D3">
        <w:t>been rendered useless or valueless by decertification</w:t>
      </w:r>
      <w:r w:rsidR="005D51D3">
        <w:t>.</w:t>
      </w:r>
      <w:r w:rsidR="005D51D3">
        <w:rPr>
          <w:rStyle w:val="FootnoteReference"/>
        </w:rPr>
        <w:footnoteReference w:id="2"/>
      </w:r>
      <w:r w:rsidR="005D51D3">
        <w:t xml:space="preserve">  </w:t>
      </w:r>
      <w:r w:rsidR="00C74EEB">
        <w:t>T</w:t>
      </w:r>
      <w:r w:rsidR="005D51D3">
        <w:t xml:space="preserve">o make this </w:t>
      </w:r>
      <w:r w:rsidR="00C74EEB">
        <w:t xml:space="preserve">factually intensive </w:t>
      </w:r>
      <w:r w:rsidR="005D51D3">
        <w:t xml:space="preserve">determination, </w:t>
      </w:r>
      <w:r w:rsidR="00C74EEB">
        <w:t>the Commission</w:t>
      </w:r>
      <w:r w:rsidR="005D51D3">
        <w:t xml:space="preserve"> concluded that the proceeding must be referred to </w:t>
      </w:r>
      <w:r w:rsidR="00AA2239">
        <w:t xml:space="preserve">the State Office of </w:t>
      </w:r>
      <w:r w:rsidR="00AA2239">
        <w:lastRenderedPageBreak/>
        <w:t>Administrative Hearings (</w:t>
      </w:r>
      <w:r w:rsidR="005D51D3">
        <w:t>SOAH</w:t>
      </w:r>
      <w:r w:rsidR="00AA2239">
        <w:t>)</w:t>
      </w:r>
      <w:r w:rsidR="005D51D3">
        <w:t xml:space="preserve"> for a hearing on the merits.</w:t>
      </w:r>
      <w:r w:rsidR="005D51D3">
        <w:rPr>
          <w:rStyle w:val="FootnoteReference"/>
        </w:rPr>
        <w:footnoteReference w:id="3"/>
      </w:r>
      <w:r w:rsidR="00AA2239">
        <w:t xml:space="preserve">  After the Commission identifies what facilities</w:t>
      </w:r>
      <w:r w:rsidR="00C74EEB">
        <w:t>, if any,</w:t>
      </w:r>
      <w:r w:rsidR="00AA2239">
        <w:t xml:space="preserve"> are rendered useless or valueless by decertification</w:t>
      </w:r>
      <w:r w:rsidR="00227566">
        <w:t xml:space="preserve"> in a proceeding under TWC § 13.254</w:t>
      </w:r>
      <w:r w:rsidR="00AA2239">
        <w:t xml:space="preserve">, then </w:t>
      </w:r>
      <w:proofErr w:type="spellStart"/>
      <w:r w:rsidR="00C74EEB">
        <w:t>a</w:t>
      </w:r>
      <w:proofErr w:type="spellEnd"/>
      <w:r w:rsidR="00C74EEB">
        <w:t xml:space="preserve"> proper</w:t>
      </w:r>
      <w:r w:rsidR="00AA2239">
        <w:t xml:space="preserve"> appraisal process </w:t>
      </w:r>
      <w:r w:rsidR="00C74EEB">
        <w:t>can occur, even if the timeframes outlined in TWC § 13.254 and 16 Texas Administrative Code (TAC) § 24.113 cannot be met.</w:t>
      </w:r>
      <w:r w:rsidR="003D3896">
        <w:rPr>
          <w:rStyle w:val="FootnoteReference"/>
        </w:rPr>
        <w:footnoteReference w:id="4"/>
      </w:r>
    </w:p>
    <w:p w:rsidR="00227566" w:rsidRPr="005D51D3" w:rsidRDefault="00227566" w:rsidP="005D51D3">
      <w:pPr>
        <w:pStyle w:val="BodyText"/>
        <w:ind w:firstLine="720"/>
      </w:pPr>
      <w:r>
        <w:t xml:space="preserve">Although Cibolo’s application in this proceeding is brought under a different provision of the Texas Water Code, TWC § 13.255, there are some analogous statutory requirements in both TWC § 13.254 and TWC § 13.255.  Both </w:t>
      </w:r>
      <w:r w:rsidR="00C74EEB">
        <w:t>sections</w:t>
      </w:r>
      <w:r>
        <w:t xml:space="preserve"> expressly task the Commission with the duty of determining what property</w:t>
      </w:r>
      <w:r w:rsidR="00C74EEB">
        <w:t xml:space="preserve">, </w:t>
      </w:r>
      <w:r>
        <w:t>if any</w:t>
      </w:r>
      <w:r w:rsidR="00C74EEB">
        <w:t>,</w:t>
      </w:r>
      <w:r>
        <w:t xml:space="preserve"> is rendered useless and valueless by decertification.</w:t>
      </w:r>
      <w:r>
        <w:rPr>
          <w:rStyle w:val="FootnoteReference"/>
        </w:rPr>
        <w:footnoteReference w:id="5"/>
      </w:r>
      <w:r w:rsidR="00EE71CF">
        <w:t xml:space="preserve">  </w:t>
      </w:r>
      <w:r w:rsidR="00C74EEB">
        <w:t>Both sections require that the decertified utility be compensated for its property that is rendered useless or valueless by the decertification.</w:t>
      </w:r>
      <w:r w:rsidR="00014CB1">
        <w:rPr>
          <w:rStyle w:val="FootnoteReference"/>
        </w:rPr>
        <w:footnoteReference w:id="6"/>
      </w:r>
      <w:r w:rsidR="00C74EEB">
        <w:t xml:space="preserve">  And b</w:t>
      </w:r>
      <w:r w:rsidR="00EE71CF">
        <w:t>oth s</w:t>
      </w:r>
      <w:r w:rsidR="00C74EEB">
        <w:t>ections</w:t>
      </w:r>
      <w:r w:rsidR="00EE71CF">
        <w:t xml:space="preserve"> also set forth processes for appraisal by one or more </w:t>
      </w:r>
      <w:r w:rsidR="008A763E">
        <w:t xml:space="preserve">qualified </w:t>
      </w:r>
      <w:r w:rsidR="00EE71CF">
        <w:t>independent appraisers</w:t>
      </w:r>
      <w:r w:rsidR="005E7FA4">
        <w:t>.</w:t>
      </w:r>
      <w:r w:rsidR="008A763E">
        <w:rPr>
          <w:rStyle w:val="FootnoteReference"/>
        </w:rPr>
        <w:footnoteReference w:id="7"/>
      </w:r>
      <w:r w:rsidR="008A763E">
        <w:t xml:space="preserve"> </w:t>
      </w:r>
    </w:p>
    <w:p w:rsidR="008624F3" w:rsidRDefault="007F3C40" w:rsidP="007F3C40">
      <w:pPr>
        <w:spacing w:before="0"/>
      </w:pPr>
      <w:r w:rsidRPr="007B279F">
        <w:rPr>
          <w:color w:val="C00000"/>
        </w:rPr>
        <w:tab/>
      </w:r>
      <w:r w:rsidR="008624F3" w:rsidRPr="008624F3">
        <w:t>Further, the Commission’s reasoning in establishing a phased process for proceedings under TWC § 13.254 equally applies to proceedings under TWC §13.255: the Commission is bound to comply with applicable law; and determining what property</w:t>
      </w:r>
      <w:r w:rsidR="00014CB1">
        <w:t>,</w:t>
      </w:r>
      <w:r w:rsidR="008624F3" w:rsidRPr="008624F3">
        <w:t xml:space="preserve"> if any</w:t>
      </w:r>
      <w:r w:rsidR="00014CB1">
        <w:t>,</w:t>
      </w:r>
      <w:r w:rsidR="008624F3" w:rsidRPr="008624F3">
        <w:t xml:space="preserve"> is rendered useless and valueless by decertification will likely be fact intensive</w:t>
      </w:r>
      <w:r w:rsidR="008624F3">
        <w:t>, lending itself to the contested-case process at SOAH.</w:t>
      </w:r>
    </w:p>
    <w:p w:rsidR="008624F3" w:rsidRDefault="008624F3" w:rsidP="007F3C40">
      <w:pPr>
        <w:spacing w:before="0"/>
      </w:pPr>
      <w:r>
        <w:tab/>
      </w:r>
      <w:r w:rsidRPr="001F5227">
        <w:t xml:space="preserve">However, the Commission notes there </w:t>
      </w:r>
      <w:r w:rsidR="00014CB1" w:rsidRPr="001F5227">
        <w:t xml:space="preserve">are several </w:t>
      </w:r>
      <w:r w:rsidRPr="001F5227">
        <w:t>important distinction</w:t>
      </w:r>
      <w:r w:rsidR="00014CB1" w:rsidRPr="001F5227">
        <w:t>s</w:t>
      </w:r>
      <w:r w:rsidRPr="001F5227">
        <w:t xml:space="preserve"> between the appraisal processes set forth under TWC</w:t>
      </w:r>
      <w:r w:rsidR="00CD295D" w:rsidRPr="001F5227">
        <w:t xml:space="preserve"> §§13.254 and 13.255</w:t>
      </w:r>
      <w:r w:rsidR="00014CB1" w:rsidRPr="001F5227">
        <w:t xml:space="preserve">, </w:t>
      </w:r>
      <w:r w:rsidR="00D25F61">
        <w:t>three</w:t>
      </w:r>
      <w:r w:rsidR="00014CB1" w:rsidRPr="001F5227">
        <w:t xml:space="preserve"> of which need to be addressed here</w:t>
      </w:r>
      <w:r w:rsidR="00CD295D" w:rsidRPr="001F5227">
        <w:t xml:space="preserve">.  </w:t>
      </w:r>
      <w:r w:rsidR="00014CB1" w:rsidRPr="001F5227">
        <w:t>First, i</w:t>
      </w:r>
      <w:r w:rsidR="00CD295D" w:rsidRPr="001F5227">
        <w:t xml:space="preserve">f the parties cannot agree on an independent appraiser in a proceeding brought under one of the subsections of TWC § 13.254, the third appraiser’s valuation </w:t>
      </w:r>
      <w:r w:rsidR="00C9442A">
        <w:t xml:space="preserve">of property rendered </w:t>
      </w:r>
      <w:r w:rsidR="00C9442A">
        <w:lastRenderedPageBreak/>
        <w:t xml:space="preserve">useless or valueless </w:t>
      </w:r>
      <w:r w:rsidR="00CD295D" w:rsidRPr="001F5227">
        <w:t>is not binding on the Commission.</w:t>
      </w:r>
      <w:r w:rsidR="00CD295D" w:rsidRPr="001F5227">
        <w:rPr>
          <w:rStyle w:val="FootnoteReference"/>
        </w:rPr>
        <w:footnoteReference w:id="8"/>
      </w:r>
      <w:r w:rsidR="00CD295D" w:rsidRPr="001F5227">
        <w:t xml:space="preserve">  In contrast, the third appraiser’s valuation </w:t>
      </w:r>
      <w:r w:rsidR="00014CB1" w:rsidRPr="001F5227">
        <w:t xml:space="preserve">of property </w:t>
      </w:r>
      <w:r w:rsidR="00CD295D" w:rsidRPr="001F5227">
        <w:t>in a proceeding brought under TWC § 13.255 is binding on the Commission.</w:t>
      </w:r>
      <w:r w:rsidR="00CD295D" w:rsidRPr="001F5227">
        <w:rPr>
          <w:rStyle w:val="FootnoteReference"/>
        </w:rPr>
        <w:footnoteReference w:id="9"/>
      </w:r>
      <w:r w:rsidR="00B72DA3" w:rsidRPr="001F5227">
        <w:t xml:space="preserve">  Therefore, not all of the process </w:t>
      </w:r>
      <w:r w:rsidR="00D254D5" w:rsidRPr="001F5227">
        <w:t>contemplated</w:t>
      </w:r>
      <w:r w:rsidR="00B72DA3" w:rsidRPr="001F5227">
        <w:t xml:space="preserve"> </w:t>
      </w:r>
      <w:r w:rsidR="00C9442A">
        <w:t>by the Commission</w:t>
      </w:r>
      <w:r w:rsidR="00B72DA3" w:rsidRPr="001F5227">
        <w:t xml:space="preserve"> </w:t>
      </w:r>
      <w:r w:rsidR="002C2AD4" w:rsidRPr="001F5227">
        <w:t xml:space="preserve">in Docket No. 45679 </w:t>
      </w:r>
      <w:r w:rsidR="00B72DA3" w:rsidRPr="001F5227">
        <w:t>will necessar</w:t>
      </w:r>
      <w:r w:rsidR="00D254D5" w:rsidRPr="001F5227">
        <w:t>il</w:t>
      </w:r>
      <w:r w:rsidR="00B72DA3" w:rsidRPr="001F5227">
        <w:t>y be appropriate for proceedings, such as this one, brought under TWC</w:t>
      </w:r>
      <w:r w:rsidR="00014CB1" w:rsidRPr="001F5227">
        <w:t> </w:t>
      </w:r>
      <w:r w:rsidR="00B72DA3" w:rsidRPr="001F5227">
        <w:t>§</w:t>
      </w:r>
      <w:r w:rsidR="00014CB1" w:rsidRPr="001F5227">
        <w:t> </w:t>
      </w:r>
      <w:r w:rsidR="00B72DA3" w:rsidRPr="001F5227">
        <w:t>13.255.</w:t>
      </w:r>
      <w:r w:rsidR="00014CB1" w:rsidRPr="001F5227">
        <w:t xml:space="preserve">  Second, under TWC § 13.255(c), the municipality may also request the transfer of specific property.  If such a request is made, </w:t>
      </w:r>
      <w:r w:rsidR="001F5227" w:rsidRPr="001F5227">
        <w:t>the Commission must also determine the adequate and just compensation to be paid for such property.</w:t>
      </w:r>
      <w:r w:rsidR="001F5227" w:rsidRPr="001F5227">
        <w:rPr>
          <w:rStyle w:val="FootnoteReference"/>
        </w:rPr>
        <w:footnoteReference w:id="10"/>
      </w:r>
      <w:r w:rsidR="00D25F61">
        <w:t xml:space="preserve">  Third, the Commission has previously determined that an application under TWC § 13.255 cannot be administratively complete unless it includes </w:t>
      </w:r>
      <w:r w:rsidR="00216C48">
        <w:t>any</w:t>
      </w:r>
      <w:r w:rsidR="00D25F61">
        <w:t xml:space="preserve"> necessary appraisals.</w:t>
      </w:r>
      <w:r w:rsidR="00216C48">
        <w:rPr>
          <w:rStyle w:val="FootnoteReference"/>
        </w:rPr>
        <w:footnoteReference w:id="11"/>
      </w:r>
      <w:r w:rsidR="009B73E9">
        <w:t xml:space="preserve">  </w:t>
      </w:r>
      <w:r w:rsidR="003F22EF">
        <w:t>Consistent with that precedent, the Commission included in its preliminary order in this case, an issue and sub-issues regarding administrative completeness.</w:t>
      </w:r>
      <w:r w:rsidR="00201CD4">
        <w:rPr>
          <w:rStyle w:val="FootnoteReference"/>
        </w:rPr>
        <w:footnoteReference w:id="12"/>
      </w:r>
      <w:r w:rsidR="003F22EF">
        <w:t xml:space="preserve">  </w:t>
      </w:r>
      <w:r w:rsidR="009B73E9">
        <w:t xml:space="preserve">However, in light of the Commission’s decision that the Commission should first determine what property, if any, must be addressed in </w:t>
      </w:r>
      <w:r w:rsidR="003F22EF">
        <w:t xml:space="preserve">any necessary </w:t>
      </w:r>
      <w:r w:rsidR="009B73E9">
        <w:t xml:space="preserve">appraisals, </w:t>
      </w:r>
      <w:r w:rsidR="003F22EF">
        <w:t xml:space="preserve">the Commission explicitly notes that </w:t>
      </w:r>
      <w:r w:rsidR="009B73E9">
        <w:t xml:space="preserve">administrative completeness should not be addressed </w:t>
      </w:r>
      <w:r w:rsidR="003F22EF">
        <w:t xml:space="preserve">by the SOAH ALJ </w:t>
      </w:r>
      <w:r w:rsidR="00201CD4">
        <w:t>during</w:t>
      </w:r>
      <w:r w:rsidR="009B73E9">
        <w:t xml:space="preserve"> this phase of the proceeding.</w:t>
      </w:r>
      <w:r w:rsidR="003F22EF">
        <w:t xml:space="preserve">  </w:t>
      </w:r>
    </w:p>
    <w:p w:rsidR="00B72DA3" w:rsidRDefault="00B72DA3" w:rsidP="00F57712">
      <w:pPr>
        <w:pStyle w:val="BodyText"/>
      </w:pPr>
      <w:r>
        <w:tab/>
        <w:t>Consistent with the discussion</w:t>
      </w:r>
      <w:r w:rsidR="00F57712">
        <w:t xml:space="preserve"> above</w:t>
      </w:r>
      <w:r>
        <w:t xml:space="preserve">, the Commission concludes it is appropriate to </w:t>
      </w:r>
      <w:r w:rsidR="001D2DA2">
        <w:t xml:space="preserve">supplement the issues to be addressed in this proceeding and </w:t>
      </w:r>
      <w:r>
        <w:t>refer</w:t>
      </w:r>
      <w:r w:rsidR="00F57712">
        <w:t xml:space="preserve"> </w:t>
      </w:r>
      <w:r w:rsidR="001D2DA2">
        <w:t>the case</w:t>
      </w:r>
      <w:r w:rsidR="00F57712">
        <w:t xml:space="preserve"> to SOAH </w:t>
      </w:r>
      <w:r w:rsidR="00F57712" w:rsidRPr="00F57712">
        <w:t>for a determination of what property, if any, will be rendered useless or valueless to the decertified retail public utility as a result of the decertification</w:t>
      </w:r>
      <w:r w:rsidR="001D2DA2">
        <w:t>, and what property, if any, has the municipality requested be transferred to it</w:t>
      </w:r>
      <w:r w:rsidR="00F57712" w:rsidRPr="00F57712">
        <w:t>.</w:t>
      </w:r>
      <w:r w:rsidR="00F57712">
        <w:t xml:space="preserve">  After the Commission issues an interim order identifying any such property, based on consideration of a proposal for decision from SOAH, the appraisal process under TWC § 13.255(l) can be taken up.</w:t>
      </w:r>
    </w:p>
    <w:p w:rsidR="002C2AD4" w:rsidRDefault="002C2AD4" w:rsidP="002C2AD4">
      <w:pPr>
        <w:spacing w:before="120"/>
        <w:ind w:firstLine="720"/>
      </w:pPr>
      <w:r>
        <w:lastRenderedPageBreak/>
        <w:t xml:space="preserve">The Commission is aware that appraisals have already been submitted in this matter, but it is not clear that those appraisals are limited to valuing </w:t>
      </w:r>
      <w:r w:rsidR="007333E7">
        <w:t>property</w:t>
      </w:r>
      <w:r w:rsidR="00F2415B">
        <w:t xml:space="preserve">, </w:t>
      </w:r>
      <w:r w:rsidR="007333E7">
        <w:t>if any</w:t>
      </w:r>
      <w:r w:rsidR="00F2415B">
        <w:t>,</w:t>
      </w:r>
      <w:r w:rsidR="007333E7">
        <w:t xml:space="preserve"> that Cibolo has requested be transferred or</w:t>
      </w:r>
      <w:r>
        <w:t xml:space="preserve"> </w:t>
      </w:r>
      <w:r w:rsidR="007333E7">
        <w:t>would be</w:t>
      </w:r>
      <w:r>
        <w:t xml:space="preserve"> rendered useless or valueless due to the proposed decertification.  That is not surprising given that the Commission has not yet identified that property.  After the Commission identifies in this first phase what property </w:t>
      </w:r>
      <w:r w:rsidR="003D729F">
        <w:t>has been requested to be transferred or would</w:t>
      </w:r>
      <w:r>
        <w:t xml:space="preserve"> be rendered useless or valueless, the app</w:t>
      </w:r>
      <w:r w:rsidR="00D977A6">
        <w:t>raisal process may be concluded, including if necessary additional appraisals by Cibolo’s and Green Valley’s selected appraisers.</w:t>
      </w:r>
    </w:p>
    <w:p w:rsidR="002C2AD4" w:rsidRDefault="002C2AD4" w:rsidP="002C2AD4">
      <w:pPr>
        <w:spacing w:before="120"/>
        <w:ind w:firstLine="720"/>
      </w:pPr>
      <w:r>
        <w:t xml:space="preserve">This is the first case of this type to be referred to SOAH.  While it is unlikely that SOAH can complete a hearing and issue a proposal for decision (PFD) within the directory timeframe provided in the statute, the Commission requests that the case be expedited to the extent possible.  </w:t>
      </w:r>
      <w:r w:rsidRPr="000E6FEC">
        <w:t xml:space="preserve">After </w:t>
      </w:r>
      <w:r>
        <w:t>appropriate discovery, the SOAH administrative law judge (ALJ) should hold a</w:t>
      </w:r>
      <w:r w:rsidRPr="000E6FEC">
        <w:t xml:space="preserve"> hearing</w:t>
      </w:r>
      <w:r>
        <w:t xml:space="preserve"> on the first phase of this docket and determine w</w:t>
      </w:r>
      <w:r w:rsidRPr="000E6FEC">
        <w:t>hat property</w:t>
      </w:r>
      <w:r>
        <w:t xml:space="preserve"> </w:t>
      </w:r>
      <w:r w:rsidRPr="000E6FEC">
        <w:t>has bee</w:t>
      </w:r>
      <w:r>
        <w:t xml:space="preserve">n </w:t>
      </w:r>
      <w:r w:rsidR="00125120">
        <w:t xml:space="preserve">requested to be transferred </w:t>
      </w:r>
      <w:r w:rsidR="00E04069">
        <w:t xml:space="preserve">and what property </w:t>
      </w:r>
      <w:r w:rsidR="00125120">
        <w:t xml:space="preserve">would be </w:t>
      </w:r>
      <w:r>
        <w:t>rendered useless or valueless</w:t>
      </w:r>
      <w:r w:rsidR="00125120">
        <w:t xml:space="preserve"> by decertification</w:t>
      </w:r>
      <w:r>
        <w:t>.  The ALJ should i</w:t>
      </w:r>
      <w:r w:rsidRPr="000E6FEC">
        <w:t xml:space="preserve">ssue a </w:t>
      </w:r>
      <w:r>
        <w:t>PFD on th</w:t>
      </w:r>
      <w:r w:rsidR="00125120">
        <w:t>ose</w:t>
      </w:r>
      <w:r>
        <w:t xml:space="preserve"> issue</w:t>
      </w:r>
      <w:r w:rsidR="00125120">
        <w:t>s</w:t>
      </w:r>
      <w:r>
        <w:t xml:space="preserve"> and allow the Commission to make the determination</w:t>
      </w:r>
      <w:r w:rsidR="00A41EC8">
        <w:t>s</w:t>
      </w:r>
      <w:r>
        <w:t xml:space="preserve"> required under </w:t>
      </w:r>
      <w:r w:rsidR="00A41EC8">
        <w:t>TWC</w:t>
      </w:r>
      <w:r w:rsidR="00102125">
        <w:t> </w:t>
      </w:r>
      <w:r w:rsidR="00A41EC8">
        <w:t>§ 13.255(c)</w:t>
      </w:r>
      <w:proofErr w:type="gramStart"/>
      <w:r w:rsidR="00A41EC8">
        <w:t>.</w:t>
      </w:r>
      <w:r>
        <w:t xml:space="preserve"> </w:t>
      </w:r>
      <w:proofErr w:type="gramEnd"/>
      <w:r>
        <w:t xml:space="preserve">The Commission will then issue an interim order to memorialize that determination.  </w:t>
      </w:r>
    </w:p>
    <w:p w:rsidR="008D71A2" w:rsidRDefault="008D71A2" w:rsidP="008D71A2">
      <w:pPr>
        <w:spacing w:before="0"/>
        <w:jc w:val="center"/>
        <w:rPr>
          <w:b/>
        </w:rPr>
      </w:pPr>
    </w:p>
    <w:p w:rsidR="008D71A2" w:rsidRPr="003C35B5" w:rsidRDefault="008D71A2" w:rsidP="008D71A2">
      <w:pPr>
        <w:spacing w:before="0"/>
        <w:jc w:val="center"/>
      </w:pPr>
      <w:r w:rsidRPr="003C35B5">
        <w:rPr>
          <w:b/>
        </w:rPr>
        <w:t xml:space="preserve">I.  Issues to be </w:t>
      </w:r>
      <w:proofErr w:type="gramStart"/>
      <w:r w:rsidRPr="003C35B5">
        <w:rPr>
          <w:b/>
        </w:rPr>
        <w:t>Addressed</w:t>
      </w:r>
      <w:proofErr w:type="gramEnd"/>
    </w:p>
    <w:p w:rsidR="008D71A2" w:rsidRPr="003C35B5" w:rsidRDefault="008D71A2" w:rsidP="008D71A2">
      <w:pPr>
        <w:spacing w:before="0"/>
        <w:jc w:val="center"/>
      </w:pPr>
    </w:p>
    <w:p w:rsidR="008D71A2" w:rsidRPr="003C35B5" w:rsidRDefault="008D71A2" w:rsidP="008D71A2">
      <w:pPr>
        <w:spacing w:before="0"/>
      </w:pPr>
      <w:r w:rsidRPr="003C35B5">
        <w:tab/>
        <w:t>The Commission must provide to the administrative law judge (ALJ) a list of issues or areas to be addressed in any proceeding referred to SOAH.</w:t>
      </w:r>
      <w:r w:rsidRPr="003C35B5">
        <w:rPr>
          <w:rStyle w:val="FootnoteReference"/>
        </w:rPr>
        <w:footnoteReference w:id="13"/>
      </w:r>
      <w:r w:rsidRPr="003C35B5">
        <w:t xml:space="preserve">  After reviewing the pleadings submitted by the parties, the Commission identifies the following issues that must be addressed </w:t>
      </w:r>
      <w:r w:rsidR="008917C9">
        <w:t>during this phase</w:t>
      </w:r>
      <w:r w:rsidRPr="003C35B5">
        <w:t xml:space="preserve"> </w:t>
      </w:r>
      <w:r w:rsidR="008917C9">
        <w:t xml:space="preserve">of </w:t>
      </w:r>
      <w:r w:rsidRPr="003C35B5">
        <w:t xml:space="preserve">this </w:t>
      </w:r>
      <w:r w:rsidR="008917C9">
        <w:t>proceeding</w:t>
      </w:r>
      <w:r w:rsidRPr="003C35B5">
        <w:t>:</w:t>
      </w:r>
    </w:p>
    <w:p w:rsidR="00D977A6" w:rsidRDefault="004C580B" w:rsidP="00D977A6">
      <w:pPr>
        <w:pStyle w:val="ItemList"/>
        <w:spacing w:before="240"/>
      </w:pPr>
      <w:r>
        <w:t>9</w:t>
      </w:r>
      <w:r w:rsidR="00D977A6">
        <w:t>.</w:t>
      </w:r>
      <w:r w:rsidR="00D977A6">
        <w:tab/>
        <w:t>What property, if any, will be rendered useless or valueless to Green Valley by the decertification sought by Cibolo in this proceeding?  TWC § 13.254(c).</w:t>
      </w:r>
    </w:p>
    <w:p w:rsidR="00D977A6" w:rsidRDefault="004C580B" w:rsidP="00D977A6">
      <w:pPr>
        <w:pStyle w:val="ItemList"/>
        <w:spacing w:before="240"/>
      </w:pPr>
      <w:r>
        <w:lastRenderedPageBreak/>
        <w:t>10</w:t>
      </w:r>
      <w:r w:rsidR="00D977A6">
        <w:t>.</w:t>
      </w:r>
      <w:r w:rsidR="00D977A6">
        <w:tab/>
        <w:t>What property</w:t>
      </w:r>
      <w:r w:rsidR="009A3BDD">
        <w:t xml:space="preserve"> of Green Valley</w:t>
      </w:r>
      <w:r w:rsidR="00D977A6">
        <w:t xml:space="preserve">, if any, </w:t>
      </w:r>
      <w:r w:rsidR="009A3BDD">
        <w:t>has Cibolo requested be transferred to it?  TWC § 13.254(c).</w:t>
      </w:r>
    </w:p>
    <w:p w:rsidR="00D977A6" w:rsidRPr="00D977A6" w:rsidRDefault="004C580B" w:rsidP="00D977A6">
      <w:pPr>
        <w:pStyle w:val="ItemList"/>
      </w:pPr>
      <w:r>
        <w:t>11</w:t>
      </w:r>
      <w:r w:rsidR="00D977A6" w:rsidRPr="00D977A6">
        <w:t xml:space="preserve">. </w:t>
      </w:r>
      <w:r w:rsidR="00D977A6" w:rsidRPr="00D977A6">
        <w:tab/>
        <w:t>Are the existing appraisals limited to valuing the property that has been determined to have been rendered useless or valueless by decertification</w:t>
      </w:r>
      <w:r w:rsidR="009A3BDD">
        <w:t xml:space="preserve"> and the property that Cibolo has requested be transferred</w:t>
      </w:r>
      <w:r w:rsidR="00D977A6" w:rsidRPr="00D977A6">
        <w:t>?</w:t>
      </w:r>
    </w:p>
    <w:p w:rsidR="00275B22" w:rsidRPr="009A3BDD" w:rsidRDefault="00275B22">
      <w:r w:rsidRPr="007B279F">
        <w:rPr>
          <w:color w:val="C00000"/>
        </w:rPr>
        <w:tab/>
      </w:r>
      <w:r w:rsidRPr="009A3BDD">
        <w:t xml:space="preserve">This list of issues is not intended to be exhaustive.  The parties and the </w:t>
      </w:r>
      <w:r w:rsidR="004C580B">
        <w:t xml:space="preserve">SOAH </w:t>
      </w:r>
      <w:r w:rsidRPr="009A3BDD">
        <w:t xml:space="preserve">ALJ are free to raise and address any issues relevant in this docket that they deem necessary, subject to any limitations imposed </w:t>
      </w:r>
      <w:r w:rsidR="00A03850" w:rsidRPr="009A3BDD">
        <w:t xml:space="preserve">by the </w:t>
      </w:r>
      <w:r w:rsidR="004C580B">
        <w:t xml:space="preserve">SOAH </w:t>
      </w:r>
      <w:r w:rsidR="00A03850" w:rsidRPr="009A3BDD">
        <w:t>ALJ</w:t>
      </w:r>
      <w:r w:rsidRPr="009A3BDD">
        <w:t xml:space="preserve"> or by the Commission in future orders issued in this docket.  The Commission reserves the right to identify and provide to the </w:t>
      </w:r>
      <w:r w:rsidR="004C580B">
        <w:t xml:space="preserve">SOAH </w:t>
      </w:r>
      <w:r w:rsidRPr="009A3BDD">
        <w:t>ALJ in the future any additional issues or areas that must be addressed</w:t>
      </w:r>
      <w:r w:rsidR="00A03850" w:rsidRPr="009A3BDD">
        <w:t>.</w:t>
      </w:r>
    </w:p>
    <w:p w:rsidR="00275B22" w:rsidRPr="00F577AA" w:rsidRDefault="009F1850" w:rsidP="00CC4119">
      <w:pPr>
        <w:jc w:val="center"/>
      </w:pPr>
      <w:r w:rsidRPr="00F577AA">
        <w:rPr>
          <w:b/>
        </w:rPr>
        <w:t>I</w:t>
      </w:r>
      <w:r w:rsidR="000F39D1">
        <w:rPr>
          <w:b/>
        </w:rPr>
        <w:t>I</w:t>
      </w:r>
      <w:proofErr w:type="gramStart"/>
      <w:r w:rsidR="00275B22" w:rsidRPr="00F577AA">
        <w:rPr>
          <w:b/>
        </w:rPr>
        <w:t xml:space="preserve">.  </w:t>
      </w:r>
      <w:r w:rsidR="007F3C40" w:rsidRPr="00F577AA">
        <w:rPr>
          <w:b/>
        </w:rPr>
        <w:t>Effect</w:t>
      </w:r>
      <w:proofErr w:type="gramEnd"/>
      <w:r w:rsidR="007F3C40" w:rsidRPr="00F577AA">
        <w:rPr>
          <w:b/>
        </w:rPr>
        <w:t xml:space="preserve"> of Preliminary Order</w:t>
      </w:r>
    </w:p>
    <w:p w:rsidR="002133F3" w:rsidRPr="00F577AA" w:rsidRDefault="002133F3" w:rsidP="002133F3">
      <w:r w:rsidRPr="00F577AA">
        <w:tab/>
        <w:t xml:space="preserve">The Commission’s discussion and conclusions in </w:t>
      </w:r>
      <w:r w:rsidR="009A3BDD" w:rsidRPr="00F577AA">
        <w:t xml:space="preserve">its </w:t>
      </w:r>
      <w:r w:rsidR="00E11A39">
        <w:t>p</w:t>
      </w:r>
      <w:r w:rsidR="009A3BDD" w:rsidRPr="00F577AA">
        <w:t xml:space="preserve">reliminary </w:t>
      </w:r>
      <w:r w:rsidR="00E11A39">
        <w:t>o</w:t>
      </w:r>
      <w:r w:rsidR="009A3BDD" w:rsidRPr="00F577AA">
        <w:t xml:space="preserve">rder </w:t>
      </w:r>
      <w:r w:rsidRPr="00F577AA">
        <w:t xml:space="preserve">regarding threshold legal and policy issues should be considered dispositive of those matters.  Questions, if any, regarding threshold legal and policy issues may be certified to the Commission for clarification if the </w:t>
      </w:r>
      <w:r w:rsidR="00F2415B">
        <w:t xml:space="preserve">SOAH </w:t>
      </w:r>
      <w:r w:rsidRPr="00F577AA">
        <w:t xml:space="preserve">ALJ determines that such clarification is necessary.  As to all other issues, </w:t>
      </w:r>
      <w:r w:rsidR="009A3BDD" w:rsidRPr="00F577AA">
        <w:t xml:space="preserve">the Commission’s </w:t>
      </w:r>
      <w:r w:rsidR="00E11A39">
        <w:t>p</w:t>
      </w:r>
      <w:r w:rsidR="009A3BDD" w:rsidRPr="00F577AA">
        <w:t xml:space="preserve">reliminary </w:t>
      </w:r>
      <w:r w:rsidR="00E11A39">
        <w:t>o</w:t>
      </w:r>
      <w:r w:rsidR="009A3BDD" w:rsidRPr="00F577AA">
        <w:t xml:space="preserve">rder and </w:t>
      </w:r>
      <w:r w:rsidRPr="00F577AA">
        <w:t xml:space="preserve">this </w:t>
      </w:r>
      <w:r w:rsidR="00E11A39">
        <w:t>s</w:t>
      </w:r>
      <w:r w:rsidR="009A3BDD" w:rsidRPr="00F577AA">
        <w:t xml:space="preserve">upplemental </w:t>
      </w:r>
      <w:r w:rsidR="00E11A39">
        <w:t>p</w:t>
      </w:r>
      <w:r w:rsidR="009A3BDD" w:rsidRPr="00F577AA">
        <w:t xml:space="preserve">reliminary </w:t>
      </w:r>
      <w:r w:rsidR="00E11A39">
        <w:t>o</w:t>
      </w:r>
      <w:r w:rsidRPr="00F577AA">
        <w:t xml:space="preserve">rder </w:t>
      </w:r>
      <w:r w:rsidR="009A3BDD" w:rsidRPr="00F577AA">
        <w:t>are</w:t>
      </w:r>
      <w:r w:rsidRPr="00F577AA">
        <w:t xml:space="preserve"> preliminary in nature and entered without prejudice to any party expressing views contrary to th</w:t>
      </w:r>
      <w:r w:rsidR="009A3BDD" w:rsidRPr="00F577AA">
        <w:t>o</w:t>
      </w:r>
      <w:r w:rsidRPr="00F577AA">
        <w:t>s</w:t>
      </w:r>
      <w:r w:rsidR="009A3BDD" w:rsidRPr="00F577AA">
        <w:t>e</w:t>
      </w:r>
      <w:r w:rsidRPr="00F577AA">
        <w:t xml:space="preserve"> </w:t>
      </w:r>
      <w:r w:rsidR="009A3BDD" w:rsidRPr="00F577AA">
        <w:t>o</w:t>
      </w:r>
      <w:r w:rsidRPr="00F577AA">
        <w:t>rder</w:t>
      </w:r>
      <w:r w:rsidR="009A3BDD" w:rsidRPr="00F577AA">
        <w:t>s</w:t>
      </w:r>
      <w:r w:rsidRPr="00F577AA">
        <w:t xml:space="preserve"> before the </w:t>
      </w:r>
      <w:r w:rsidR="00F2415B">
        <w:t xml:space="preserve">SOAH </w:t>
      </w:r>
      <w:r w:rsidRPr="00F577AA">
        <w:t xml:space="preserve">ALJ. </w:t>
      </w:r>
      <w:r w:rsidR="00CE470D" w:rsidRPr="00F577AA">
        <w:t xml:space="preserve"> </w:t>
      </w:r>
      <w:r w:rsidRPr="00F577AA">
        <w:t xml:space="preserve">The </w:t>
      </w:r>
      <w:r w:rsidR="00F2415B">
        <w:t xml:space="preserve">SOAH </w:t>
      </w:r>
      <w:r w:rsidRPr="00F577AA">
        <w:t>ALJ, upon his or her own motion or upon the motion of any party, may deviate from the non-dispositive rulings of th</w:t>
      </w:r>
      <w:r w:rsidR="009A3BDD" w:rsidRPr="00F577AA">
        <w:t>e</w:t>
      </w:r>
      <w:r w:rsidRPr="00F577AA">
        <w:t xml:space="preserve"> </w:t>
      </w:r>
      <w:r w:rsidR="009A3BDD" w:rsidRPr="00F577AA">
        <w:t xml:space="preserve">Preliminary </w:t>
      </w:r>
      <w:r w:rsidRPr="00F577AA">
        <w:t xml:space="preserve">Order </w:t>
      </w:r>
      <w:r w:rsidR="009A3BDD" w:rsidRPr="00F577AA">
        <w:t xml:space="preserve">and Supplemental Preliminary Order </w:t>
      </w:r>
      <w:r w:rsidRPr="00F577AA">
        <w:t xml:space="preserve">when circumstances dictate that it is reasonable to do so.  Any ruling by the </w:t>
      </w:r>
      <w:r w:rsidR="00F2415B">
        <w:t xml:space="preserve">SOAH </w:t>
      </w:r>
      <w:r w:rsidRPr="00F577AA">
        <w:t xml:space="preserve">ALJ that deviates from </w:t>
      </w:r>
      <w:r w:rsidR="009A3BDD" w:rsidRPr="00F577AA">
        <w:t xml:space="preserve">the </w:t>
      </w:r>
      <w:r w:rsidR="00E11A39">
        <w:t>p</w:t>
      </w:r>
      <w:r w:rsidR="009A3BDD" w:rsidRPr="00F577AA">
        <w:t xml:space="preserve">reliminary </w:t>
      </w:r>
      <w:r w:rsidR="00E11A39">
        <w:t>o</w:t>
      </w:r>
      <w:r w:rsidR="009A3BDD" w:rsidRPr="00F577AA">
        <w:t xml:space="preserve">rder and </w:t>
      </w:r>
      <w:r w:rsidR="00E11A39">
        <w:t>s</w:t>
      </w:r>
      <w:r w:rsidR="009A3BDD" w:rsidRPr="00F577AA">
        <w:t xml:space="preserve">upplemental </w:t>
      </w:r>
      <w:r w:rsidR="00E11A39">
        <w:t>p</w:t>
      </w:r>
      <w:r w:rsidR="009A3BDD" w:rsidRPr="00F577AA">
        <w:t xml:space="preserve">reliminary </w:t>
      </w:r>
      <w:r w:rsidR="00E11A39">
        <w:t>o</w:t>
      </w:r>
      <w:r w:rsidR="009A3BDD" w:rsidRPr="00F577AA">
        <w:t xml:space="preserve">rder </w:t>
      </w:r>
      <w:r w:rsidRPr="00F577AA">
        <w:t xml:space="preserve">may be appealed to the Commission.  The Commission will not address whether </w:t>
      </w:r>
      <w:r w:rsidR="00A96F71">
        <w:t>the p</w:t>
      </w:r>
      <w:r w:rsidR="009A3BDD" w:rsidRPr="00F577AA">
        <w:t xml:space="preserve">reliminary </w:t>
      </w:r>
      <w:r w:rsidR="00A96F71">
        <w:t>o</w:t>
      </w:r>
      <w:r w:rsidR="009A3BDD" w:rsidRPr="00F577AA">
        <w:t xml:space="preserve">rder and </w:t>
      </w:r>
      <w:r w:rsidR="007A1133">
        <w:t>s</w:t>
      </w:r>
      <w:r w:rsidR="009A3BDD" w:rsidRPr="00F577AA">
        <w:t xml:space="preserve">upplemental </w:t>
      </w:r>
      <w:r w:rsidR="007A1133">
        <w:t>p</w:t>
      </w:r>
      <w:r w:rsidR="009A3BDD" w:rsidRPr="00F577AA">
        <w:t xml:space="preserve">reliminary </w:t>
      </w:r>
      <w:r w:rsidR="007A1133">
        <w:t>o</w:t>
      </w:r>
      <w:bookmarkStart w:id="0" w:name="_GoBack"/>
      <w:bookmarkEnd w:id="0"/>
      <w:r w:rsidR="009A3BDD" w:rsidRPr="00F577AA">
        <w:t xml:space="preserve">rder </w:t>
      </w:r>
      <w:r w:rsidRPr="00F577AA">
        <w:t>should be modified except upon its own motion or the appeal of a</w:t>
      </w:r>
      <w:r w:rsidR="00A03850" w:rsidRPr="00F577AA">
        <w:t>n</w:t>
      </w:r>
      <w:r w:rsidRPr="00F577AA">
        <w:t xml:space="preserve"> ALJ’s order.  Furthermore, this Order is not subject to motions for rehearing or reconsideration.</w:t>
      </w:r>
    </w:p>
    <w:p w:rsidR="00172AA8" w:rsidRDefault="00172AA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sz w:val="16"/>
          <w:szCs w:val="16"/>
        </w:rPr>
      </w:pPr>
    </w:p>
    <w:p w:rsidR="00CC4119" w:rsidRPr="00172AA8" w:rsidRDefault="00CC4119">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sz w:val="16"/>
          <w:szCs w:val="16"/>
        </w:rPr>
      </w:pPr>
    </w:p>
    <w:p w:rsidR="00F2415B" w:rsidRDefault="00F2415B">
      <w:pPr>
        <w:spacing w:before="0" w:line="240" w:lineRule="auto"/>
        <w:jc w:val="left"/>
        <w:rPr>
          <w:b/>
        </w:rPr>
      </w:pPr>
    </w:p>
    <w:p w:rsidR="000024B7" w:rsidRDefault="000024B7">
      <w:pPr>
        <w:spacing w:before="0" w:line="240" w:lineRule="auto"/>
        <w:jc w:val="left"/>
        <w:rPr>
          <w:b/>
        </w:rPr>
      </w:pPr>
      <w:r>
        <w:rPr>
          <w:b/>
        </w:rPr>
        <w:br w:type="page"/>
      </w: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lastRenderedPageBreak/>
        <w:t xml:space="preserve">SIGNED AT AUSTIN, TEXAS the ______ day of </w:t>
      </w:r>
      <w:r w:rsidR="00172AA8">
        <w:rPr>
          <w:b/>
        </w:rPr>
        <w:t>Ju</w:t>
      </w:r>
      <w:r w:rsidR="007E10D5">
        <w:rPr>
          <w:b/>
        </w:rPr>
        <w:t>ly</w:t>
      </w:r>
      <w:r w:rsidRPr="003C35B5">
        <w:rPr>
          <w:b/>
        </w:rPr>
        <w:t xml:space="preserve"> </w:t>
      </w:r>
      <w:r w:rsidR="00172AA8">
        <w:rPr>
          <w:b/>
        </w:rPr>
        <w:t>2016</w:t>
      </w:r>
      <w:r w:rsidRPr="003C35B5">
        <w:rPr>
          <w:b/>
        </w:rPr>
        <w:t>.</w:t>
      </w:r>
    </w:p>
    <w:p w:rsidR="00275B22" w:rsidRPr="00172AA8"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sz w:val="22"/>
          <w:szCs w:val="22"/>
        </w:rPr>
      </w:pPr>
    </w:p>
    <w:p w:rsidR="00275B22" w:rsidRPr="00172AA8"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sz w:val="22"/>
          <w:szCs w:val="22"/>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172AA8"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275B22" w:rsidRPr="00172AA8"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676438" w:rsidRPr="00172AA8"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sz w:val="22"/>
          <w:szCs w:val="22"/>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Pr="00172AA8" w:rsidRDefault="00275B22" w:rsidP="00676438">
      <w:pPr>
        <w:spacing w:before="0" w:line="240" w:lineRule="auto"/>
        <w:ind w:firstLine="3780"/>
        <w:rPr>
          <w:b/>
          <w:sz w:val="22"/>
          <w:szCs w:val="22"/>
        </w:rPr>
      </w:pPr>
    </w:p>
    <w:p w:rsidR="00676438" w:rsidRPr="00172AA8" w:rsidRDefault="00676438" w:rsidP="00676438">
      <w:pPr>
        <w:spacing w:before="0" w:line="240" w:lineRule="auto"/>
        <w:ind w:firstLine="3780"/>
        <w:rPr>
          <w:b/>
          <w:sz w:val="22"/>
          <w:szCs w:val="22"/>
        </w:rPr>
      </w:pPr>
    </w:p>
    <w:p w:rsidR="00D07FE4" w:rsidRPr="00172AA8" w:rsidRDefault="00D07FE4" w:rsidP="00676438">
      <w:pPr>
        <w:spacing w:before="0" w:line="240" w:lineRule="auto"/>
        <w:ind w:firstLine="3780"/>
        <w:rPr>
          <w:b/>
          <w:sz w:val="22"/>
          <w:szCs w:val="22"/>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Pr="00172AA8" w:rsidRDefault="002D2669" w:rsidP="002D2669">
      <w:pPr>
        <w:spacing w:before="0" w:line="240" w:lineRule="auto"/>
        <w:ind w:firstLine="3780"/>
        <w:rPr>
          <w:b/>
          <w:sz w:val="22"/>
          <w:szCs w:val="22"/>
        </w:rPr>
      </w:pPr>
    </w:p>
    <w:p w:rsidR="002D2669" w:rsidRPr="00172AA8" w:rsidRDefault="002D2669" w:rsidP="002D2669">
      <w:pPr>
        <w:spacing w:before="0" w:line="240" w:lineRule="auto"/>
        <w:ind w:firstLine="3780"/>
        <w:rPr>
          <w:b/>
          <w:sz w:val="22"/>
          <w:szCs w:val="22"/>
        </w:rPr>
      </w:pPr>
    </w:p>
    <w:p w:rsidR="002D2669" w:rsidRPr="00172AA8" w:rsidRDefault="002D2669" w:rsidP="002D2669">
      <w:pPr>
        <w:spacing w:before="0" w:line="240" w:lineRule="auto"/>
        <w:ind w:firstLine="3780"/>
        <w:rPr>
          <w:b/>
          <w:sz w:val="22"/>
          <w:szCs w:val="22"/>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B81B17">
        <w:rPr>
          <w:b/>
        </w:rPr>
        <w:t xml:space="preserve"> MARQUEZ</w:t>
      </w:r>
      <w:r w:rsidRPr="003C35B5">
        <w:rPr>
          <w:b/>
        </w:rPr>
        <w:t xml:space="preserve">, COMMISSIONER </w:t>
      </w:r>
    </w:p>
    <w:p w:rsidR="002B0DD0" w:rsidRPr="00172AA8" w:rsidRDefault="002B0DD0">
      <w:pPr>
        <w:spacing w:before="0" w:line="240" w:lineRule="auto"/>
        <w:rPr>
          <w:b/>
          <w:sz w:val="16"/>
          <w:szCs w:val="16"/>
        </w:rPr>
      </w:pPr>
    </w:p>
    <w:p w:rsidR="002B0DD0" w:rsidRPr="003C35B5" w:rsidRDefault="002B0DD0" w:rsidP="00172AA8">
      <w:pPr>
        <w:rPr>
          <w:b/>
        </w:rPr>
      </w:pPr>
      <w:r w:rsidRPr="00172AA8">
        <w:rPr>
          <w:sz w:val="16"/>
          <w:szCs w:val="16"/>
        </w:rPr>
        <w:fldChar w:fldCharType="begin"/>
      </w:r>
      <w:r w:rsidRPr="00172AA8">
        <w:rPr>
          <w:sz w:val="16"/>
          <w:szCs w:val="16"/>
        </w:rPr>
        <w:instrText xml:space="preserve"> FILENAME \* Lower\p \* MERGEFORMAT </w:instrText>
      </w:r>
      <w:r w:rsidRPr="00172AA8">
        <w:rPr>
          <w:sz w:val="16"/>
          <w:szCs w:val="16"/>
        </w:rPr>
        <w:fldChar w:fldCharType="separate"/>
      </w:r>
      <w:r w:rsidR="007E10D5">
        <w:rPr>
          <w:noProof/>
          <w:sz w:val="16"/>
          <w:szCs w:val="16"/>
        </w:rPr>
        <w:t>q:\cadm\orders\prelim\45000\45702 supp dpo.docx</w:t>
      </w:r>
      <w:r w:rsidRPr="00172AA8">
        <w:rPr>
          <w:sz w:val="16"/>
          <w:szCs w:val="16"/>
        </w:rPr>
        <w:fldChar w:fldCharType="end"/>
      </w:r>
      <w:r w:rsidR="007F3C40" w:rsidRPr="003C35B5">
        <w:rPr>
          <w:sz w:val="16"/>
        </w:rPr>
        <w:t xml:space="preserve">  </w:t>
      </w: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7F6" w:rsidRDefault="002A67F6">
      <w:r>
        <w:separator/>
      </w:r>
    </w:p>
  </w:endnote>
  <w:endnote w:type="continuationSeparator" w:id="0">
    <w:p w:rsidR="002A67F6" w:rsidRDefault="002A6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7F6" w:rsidRDefault="002A67F6">
      <w:r>
        <w:separator/>
      </w:r>
    </w:p>
  </w:footnote>
  <w:footnote w:type="continuationSeparator" w:id="0">
    <w:p w:rsidR="002A67F6" w:rsidRDefault="002A67F6">
      <w:r>
        <w:continuationSeparator/>
      </w:r>
    </w:p>
  </w:footnote>
  <w:footnote w:id="1">
    <w:p w:rsidR="00030AF1" w:rsidRDefault="00030AF1">
      <w:pPr>
        <w:pStyle w:val="FootnoteText"/>
      </w:pPr>
      <w:r>
        <w:rPr>
          <w:rStyle w:val="FootnoteReference"/>
        </w:rPr>
        <w:footnoteRef/>
      </w:r>
      <w:r>
        <w:t xml:space="preserve">  </w:t>
      </w:r>
      <w:proofErr w:type="spellStart"/>
      <w:r w:rsidRPr="005D51D3">
        <w:rPr>
          <w:i/>
        </w:rPr>
        <w:t>Zipp</w:t>
      </w:r>
      <w:proofErr w:type="spellEnd"/>
      <w:r w:rsidRPr="005D51D3">
        <w:rPr>
          <w:i/>
        </w:rPr>
        <w:t xml:space="preserve"> Road Utility Company LLC's Notice of Intent to Provide Sewer Service to Area Decertified from Guadalupe-Blanco River Authority is Guadalupe County</w:t>
      </w:r>
      <w:r>
        <w:t>,</w:t>
      </w:r>
      <w:r>
        <w:t xml:space="preserve"> Docket No. 45679 (pending).</w:t>
      </w:r>
    </w:p>
  </w:footnote>
  <w:footnote w:id="2">
    <w:p w:rsidR="005D51D3" w:rsidRPr="00AA2239" w:rsidRDefault="005D51D3">
      <w:pPr>
        <w:pStyle w:val="FootnoteText"/>
      </w:pPr>
      <w:r>
        <w:rPr>
          <w:rStyle w:val="FootnoteReference"/>
        </w:rPr>
        <w:footnoteRef/>
      </w:r>
      <w:r>
        <w:t xml:space="preserve">  Open Meeting Tr. at </w:t>
      </w:r>
      <w:r w:rsidR="005E3D13">
        <w:t>35-38</w:t>
      </w:r>
      <w:r>
        <w:t xml:space="preserve"> (Jun. 29, 2016); Docket No. 45679, Order on Rehearing (Jul. 7, 2016).</w:t>
      </w:r>
      <w:r w:rsidR="00AA2239">
        <w:t xml:space="preserve">  </w:t>
      </w:r>
      <w:r w:rsidR="00AA2239">
        <w:rPr>
          <w:i/>
        </w:rPr>
        <w:t>See also</w:t>
      </w:r>
      <w:r w:rsidR="00AA2239">
        <w:t xml:space="preserve"> Docket No. 45679, Memorandum from Chairman Donna L. Nelson (Jun. 28, 2016).</w:t>
      </w:r>
    </w:p>
  </w:footnote>
  <w:footnote w:id="3">
    <w:p w:rsidR="005D51D3" w:rsidRDefault="005D51D3">
      <w:pPr>
        <w:pStyle w:val="FootnoteText"/>
      </w:pPr>
      <w:r>
        <w:rPr>
          <w:rStyle w:val="FootnoteReference"/>
        </w:rPr>
        <w:footnoteRef/>
      </w:r>
      <w:r>
        <w:t xml:space="preserve">  Docket No. 45679, Order on Rehearing at </w:t>
      </w:r>
      <w:r w:rsidR="00AA2239">
        <w:t>1.</w:t>
      </w:r>
    </w:p>
  </w:footnote>
  <w:footnote w:id="4">
    <w:p w:rsidR="003D3896" w:rsidRPr="003D3896" w:rsidRDefault="003D3896" w:rsidP="003D3896">
      <w:pPr>
        <w:pStyle w:val="FootnoteText"/>
      </w:pPr>
      <w:r>
        <w:rPr>
          <w:rStyle w:val="FootnoteReference"/>
        </w:rPr>
        <w:footnoteRef/>
      </w:r>
      <w:r>
        <w:t xml:space="preserve">  </w:t>
      </w:r>
      <w:r>
        <w:rPr>
          <w:i/>
        </w:rPr>
        <w:t xml:space="preserve">See </w:t>
      </w:r>
      <w:r>
        <w:t>Docket No. 45679, Memorandum from Chairman Nelson at 1, “[D]</w:t>
      </w:r>
      <w:proofErr w:type="spellStart"/>
      <w:r>
        <w:t>etermination</w:t>
      </w:r>
      <w:proofErr w:type="spellEnd"/>
      <w:r>
        <w:t xml:space="preserve"> of what property has been rendered useless or valueless needs to occur before the parties either agree on an appraiser or select their own appraisers.”</w:t>
      </w:r>
    </w:p>
  </w:footnote>
  <w:footnote w:id="5">
    <w:p w:rsidR="00227566" w:rsidRDefault="00227566">
      <w:pPr>
        <w:pStyle w:val="FootnoteText"/>
      </w:pPr>
      <w:r>
        <w:rPr>
          <w:rStyle w:val="FootnoteReference"/>
        </w:rPr>
        <w:footnoteRef/>
      </w:r>
      <w:r>
        <w:t xml:space="preserve">  TWC §</w:t>
      </w:r>
      <w:r w:rsidR="00E7680D">
        <w:t>§</w:t>
      </w:r>
      <w:r>
        <w:t xml:space="preserve"> 13.254(d)</w:t>
      </w:r>
      <w:r w:rsidR="00E7680D">
        <w:t xml:space="preserve"> and </w:t>
      </w:r>
      <w:r w:rsidR="00EE71CF">
        <w:t>13.255(c)</w:t>
      </w:r>
      <w:r w:rsidR="00E7680D">
        <w:t>.</w:t>
      </w:r>
    </w:p>
  </w:footnote>
  <w:footnote w:id="6">
    <w:p w:rsidR="00014CB1" w:rsidRPr="00014CB1" w:rsidRDefault="00014CB1">
      <w:pPr>
        <w:pStyle w:val="FootnoteText"/>
      </w:pPr>
      <w:r>
        <w:rPr>
          <w:rStyle w:val="FootnoteReference"/>
        </w:rPr>
        <w:footnoteRef/>
      </w:r>
      <w:r>
        <w:t xml:space="preserve">  </w:t>
      </w:r>
      <w:r>
        <w:rPr>
          <w:i/>
        </w:rPr>
        <w:t>Id</w:t>
      </w:r>
      <w:r>
        <w:t>.</w:t>
      </w:r>
    </w:p>
  </w:footnote>
  <w:footnote w:id="7">
    <w:p w:rsidR="008A763E" w:rsidRDefault="008A763E">
      <w:pPr>
        <w:pStyle w:val="FootnoteText"/>
      </w:pPr>
      <w:r>
        <w:rPr>
          <w:rStyle w:val="FootnoteReference"/>
        </w:rPr>
        <w:footnoteRef/>
      </w:r>
      <w:r>
        <w:t xml:space="preserve">  TWC §§ 13.254(f), (g-1) and 13.255(l).</w:t>
      </w:r>
    </w:p>
  </w:footnote>
  <w:footnote w:id="8">
    <w:p w:rsidR="00CD295D" w:rsidRPr="00CD295D" w:rsidRDefault="00CD295D" w:rsidP="00CD295D">
      <w:pPr>
        <w:pStyle w:val="FootnoteText"/>
      </w:pPr>
      <w:r>
        <w:rPr>
          <w:rStyle w:val="FootnoteReference"/>
        </w:rPr>
        <w:footnoteRef/>
      </w:r>
      <w:r>
        <w:t xml:space="preserve">  TWC § 13.254(g-1).  </w:t>
      </w:r>
      <w:r>
        <w:rPr>
          <w:i/>
        </w:rPr>
        <w:t xml:space="preserve">See also </w:t>
      </w:r>
      <w:r w:rsidRPr="00CD295D">
        <w:t xml:space="preserve">Docket No. </w:t>
      </w:r>
      <w:r>
        <w:t xml:space="preserve">45679, Memorandum from Chairman Nelson at 1, “Whereas the Commission is explicitly bound by the determination of an independent appraiser agreed on by the parties, there is no such binding language for when the Commission appoints a third appraiser.” </w:t>
      </w:r>
    </w:p>
  </w:footnote>
  <w:footnote w:id="9">
    <w:p w:rsidR="00CD295D" w:rsidRDefault="00CD295D">
      <w:pPr>
        <w:pStyle w:val="FootnoteText"/>
      </w:pPr>
      <w:r>
        <w:rPr>
          <w:rStyle w:val="FootnoteReference"/>
        </w:rPr>
        <w:footnoteRef/>
      </w:r>
      <w:r>
        <w:t xml:space="preserve">  TWC § 13.255(l).</w:t>
      </w:r>
    </w:p>
  </w:footnote>
  <w:footnote w:id="10">
    <w:p w:rsidR="001F5227" w:rsidRDefault="001F5227">
      <w:pPr>
        <w:pStyle w:val="FootnoteText"/>
      </w:pPr>
      <w:r>
        <w:rPr>
          <w:rStyle w:val="FootnoteReference"/>
        </w:rPr>
        <w:footnoteRef/>
      </w:r>
      <w:r>
        <w:t xml:space="preserve">  TWC § 13.255(c).</w:t>
      </w:r>
    </w:p>
  </w:footnote>
  <w:footnote w:id="11">
    <w:p w:rsidR="00216C48" w:rsidRDefault="00216C48" w:rsidP="00201CD4">
      <w:pPr>
        <w:pStyle w:val="FootnoteText"/>
      </w:pPr>
      <w:r>
        <w:rPr>
          <w:rStyle w:val="FootnoteReference"/>
        </w:rPr>
        <w:footnoteRef/>
      </w:r>
      <w:r>
        <w:t xml:space="preserve">  </w:t>
      </w:r>
      <w:r>
        <w:rPr>
          <w:i/>
        </w:rPr>
        <w:t xml:space="preserve">Application of City of Heath to Amend a Certificate of Convenience and Necessity to </w:t>
      </w:r>
      <w:proofErr w:type="spellStart"/>
      <w:r>
        <w:rPr>
          <w:i/>
        </w:rPr>
        <w:t>Decertifya</w:t>
      </w:r>
      <w:proofErr w:type="spellEnd"/>
      <w:r>
        <w:rPr>
          <w:i/>
        </w:rPr>
        <w:t xml:space="preserve"> Portion of Forney Lake Water Supply Corporation’s Service Area in Rockwall County</w:t>
      </w:r>
      <w:r>
        <w:t>, Docket No.44541,</w:t>
      </w:r>
      <w:r>
        <w:rPr>
          <w:i/>
        </w:rPr>
        <w:t xml:space="preserve"> </w:t>
      </w:r>
      <w:r>
        <w:t>Order on Appeal of Order No. 4 (Aug. 24, 2015).</w:t>
      </w:r>
    </w:p>
  </w:footnote>
  <w:footnote w:id="12">
    <w:p w:rsidR="00201CD4" w:rsidRDefault="00201CD4">
      <w:pPr>
        <w:pStyle w:val="FootnoteText"/>
      </w:pPr>
      <w:r>
        <w:rPr>
          <w:rStyle w:val="FootnoteReference"/>
        </w:rPr>
        <w:footnoteRef/>
      </w:r>
      <w:r>
        <w:t xml:space="preserve">  Preliminary Order at 5-6, Issue 4</w:t>
      </w:r>
      <w:r w:rsidR="00E04069">
        <w:t xml:space="preserve"> (Jul. 1, 2016)</w:t>
      </w:r>
      <w:r>
        <w:t xml:space="preserve">. </w:t>
      </w:r>
    </w:p>
  </w:footnote>
  <w:footnote w:id="13">
    <w:p w:rsidR="008D71A2" w:rsidRPr="002133F3" w:rsidRDefault="008D71A2" w:rsidP="008D71A2">
      <w:pPr>
        <w:pStyle w:val="FootnoteText"/>
        <w:rPr>
          <w:lang w:val="pt-BR"/>
        </w:rPr>
      </w:pPr>
      <w:r>
        <w:rPr>
          <w:rStyle w:val="FootnoteReference"/>
        </w:rPr>
        <w:footnoteRef/>
      </w:r>
      <w:r w:rsidRPr="002133F3">
        <w:rPr>
          <w:lang w:val="pt-BR"/>
        </w:rPr>
        <w:t xml:space="preserve">  </w:t>
      </w:r>
      <w:r w:rsidRPr="008D71A2">
        <w:rPr>
          <w:lang w:val="pt-BR"/>
        </w:rPr>
        <w:t>Tex. Gov’t Code Ann.</w:t>
      </w:r>
      <w:r>
        <w:rPr>
          <w:lang w:val="pt-BR"/>
        </w:rPr>
        <w:t xml:space="preserve"> § 2003.049(e) (West 2008</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201BB9">
    <w:pPr>
      <w:pStyle w:val="Header"/>
      <w:spacing w:before="0" w:line="240" w:lineRule="auto"/>
      <w:rPr>
        <w:rStyle w:val="PageNumber"/>
        <w:sz w:val="20"/>
      </w:rPr>
    </w:pPr>
    <w:r w:rsidRPr="00D07FE4">
      <w:rPr>
        <w:sz w:val="20"/>
      </w:rPr>
      <w:t>Doc</w:t>
    </w:r>
    <w:r>
      <w:rPr>
        <w:sz w:val="20"/>
      </w:rPr>
      <w:t>ket No. 45702</w:t>
    </w:r>
    <w:r w:rsidR="003243A0" w:rsidRPr="00D07FE4">
      <w:rPr>
        <w:sz w:val="20"/>
      </w:rPr>
      <w:tab/>
    </w:r>
    <w:r>
      <w:rPr>
        <w:sz w:val="20"/>
      </w:rPr>
      <w:t xml:space="preserve">Draft </w:t>
    </w:r>
    <w:r w:rsidR="00A90DC2">
      <w:rPr>
        <w:sz w:val="20"/>
      </w:rPr>
      <w:t xml:space="preserve">Supplemental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7A1133">
      <w:rPr>
        <w:rStyle w:val="PageNumber"/>
        <w:noProof/>
        <w:sz w:val="20"/>
      </w:rPr>
      <w:t>6</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7A1133">
      <w:rPr>
        <w:rStyle w:val="PageNumber"/>
        <w:noProof/>
        <w:sz w:val="20"/>
      </w:rPr>
      <w:t>6</w:t>
    </w:r>
    <w:r w:rsidR="003243A0" w:rsidRPr="00D07FE4">
      <w:rPr>
        <w:rStyle w:val="PageNumber"/>
        <w:sz w:val="20"/>
      </w:rPr>
      <w:fldChar w:fldCharType="end"/>
    </w:r>
  </w:p>
  <w:p w:rsidR="003243A0" w:rsidRDefault="003243A0">
    <w:pPr>
      <w:pStyle w:val="Header"/>
      <w:spacing w:before="0" w:line="240" w:lineRule="auto"/>
      <w:rPr>
        <w:rStyle w:val="PageNumber"/>
      </w:rPr>
    </w:pP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15:restartNumberingAfterBreak="0">
    <w:nsid w:val="250979C2"/>
    <w:multiLevelType w:val="singleLevel"/>
    <w:tmpl w:val="76C4B292"/>
    <w:lvl w:ilvl="0">
      <w:start w:val="1"/>
      <w:numFmt w:val="decimal"/>
      <w:lvlText w:val="%1."/>
      <w:legacy w:legacy="1" w:legacySpace="0" w:legacyIndent="360"/>
      <w:lvlJc w:val="left"/>
      <w:pPr>
        <w:ind w:left="360" w:hanging="360"/>
      </w:pPr>
    </w:lvl>
  </w:abstractNum>
  <w:abstractNum w:abstractNumId="4"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6" w15:restartNumberingAfterBreak="0">
    <w:nsid w:val="40B80CE4"/>
    <w:multiLevelType w:val="hybridMultilevel"/>
    <w:tmpl w:val="0D14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0D5C71"/>
    <w:multiLevelType w:val="hybridMultilevel"/>
    <w:tmpl w:val="FFCA9AE6"/>
    <w:lvl w:ilvl="0" w:tplc="6E74D6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274714F"/>
    <w:multiLevelType w:val="singleLevel"/>
    <w:tmpl w:val="76C4B292"/>
    <w:lvl w:ilvl="0">
      <w:start w:val="1"/>
      <w:numFmt w:val="decimal"/>
      <w:lvlText w:val="%1."/>
      <w:legacy w:legacy="1" w:legacySpace="0" w:legacyIndent="360"/>
      <w:lvlJc w:val="left"/>
      <w:pPr>
        <w:ind w:left="360" w:hanging="360"/>
      </w:pPr>
    </w:lvl>
  </w:abstractNum>
  <w:abstractNum w:abstractNumId="10"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1"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3" w15:restartNumberingAfterBreak="0">
    <w:nsid w:val="78B91645"/>
    <w:multiLevelType w:val="multilevel"/>
    <w:tmpl w:val="76C4B292"/>
    <w:lvl w:ilvl="0">
      <w:start w:val="1"/>
      <w:numFmt w:val="decimal"/>
      <w:lvlText w:val="%1."/>
      <w:legacy w:legacy="1" w:legacySpace="0" w:legacyIndent="360"/>
      <w:lvlJc w:val="left"/>
      <w:pPr>
        <w:ind w:left="360" w:hanging="360"/>
      </w:pPr>
    </w:lvl>
    <w:lvl w:ilvl="1">
      <w:start w:val="1"/>
      <w:numFmt w:val="lowerLetter"/>
      <w:lvlText w:val="%2."/>
      <w:lvlJc w:val="left"/>
      <w:pPr>
        <w:tabs>
          <w:tab w:val="num" w:pos="720"/>
        </w:tabs>
        <w:ind w:left="720" w:hanging="360"/>
      </w:pPr>
    </w:lvl>
    <w:lvl w:ilvl="2" w:tentative="1">
      <w:start w:val="1"/>
      <w:numFmt w:val="lowerRoman"/>
      <w:lvlText w:val="%3."/>
      <w:lvlJc w:val="right"/>
      <w:pPr>
        <w:tabs>
          <w:tab w:val="num" w:pos="1440"/>
        </w:tabs>
        <w:ind w:left="1440" w:hanging="180"/>
      </w:pPr>
    </w:lvl>
    <w:lvl w:ilvl="3" w:tentative="1">
      <w:start w:val="1"/>
      <w:numFmt w:val="decimal"/>
      <w:lvlText w:val="%4."/>
      <w:lvlJc w:val="left"/>
      <w:pPr>
        <w:tabs>
          <w:tab w:val="num" w:pos="2160"/>
        </w:tabs>
        <w:ind w:left="2160" w:hanging="360"/>
      </w:pPr>
    </w:lvl>
    <w:lvl w:ilvl="4" w:tentative="1">
      <w:start w:val="1"/>
      <w:numFmt w:val="lowerLetter"/>
      <w:lvlText w:val="%5."/>
      <w:lvlJc w:val="left"/>
      <w:pPr>
        <w:tabs>
          <w:tab w:val="num" w:pos="2880"/>
        </w:tabs>
        <w:ind w:left="2880" w:hanging="360"/>
      </w:pPr>
    </w:lvl>
    <w:lvl w:ilvl="5" w:tentative="1">
      <w:start w:val="1"/>
      <w:numFmt w:val="lowerRoman"/>
      <w:lvlText w:val="%6."/>
      <w:lvlJc w:val="right"/>
      <w:pPr>
        <w:tabs>
          <w:tab w:val="num" w:pos="3600"/>
        </w:tabs>
        <w:ind w:left="3600" w:hanging="180"/>
      </w:pPr>
    </w:lvl>
    <w:lvl w:ilvl="6" w:tentative="1">
      <w:start w:val="1"/>
      <w:numFmt w:val="decimal"/>
      <w:lvlText w:val="%7."/>
      <w:lvlJc w:val="left"/>
      <w:pPr>
        <w:tabs>
          <w:tab w:val="num" w:pos="4320"/>
        </w:tabs>
        <w:ind w:left="4320" w:hanging="360"/>
      </w:pPr>
    </w:lvl>
    <w:lvl w:ilvl="7" w:tentative="1">
      <w:start w:val="1"/>
      <w:numFmt w:val="lowerLetter"/>
      <w:lvlText w:val="%8."/>
      <w:lvlJc w:val="left"/>
      <w:pPr>
        <w:tabs>
          <w:tab w:val="num" w:pos="5040"/>
        </w:tabs>
        <w:ind w:left="5040" w:hanging="360"/>
      </w:pPr>
    </w:lvl>
    <w:lvl w:ilvl="8" w:tentative="1">
      <w:start w:val="1"/>
      <w:numFmt w:val="lowerRoman"/>
      <w:lvlText w:val="%9."/>
      <w:lvlJc w:val="right"/>
      <w:pPr>
        <w:tabs>
          <w:tab w:val="num" w:pos="5760"/>
        </w:tabs>
        <w:ind w:left="5760" w:hanging="180"/>
      </w:pPr>
    </w:lvl>
  </w:abstractNum>
  <w:num w:numId="1">
    <w:abstractNumId w:val="5"/>
  </w:num>
  <w:num w:numId="2">
    <w:abstractNumId w:val="0"/>
  </w:num>
  <w:num w:numId="3">
    <w:abstractNumId w:val="10"/>
  </w:num>
  <w:num w:numId="4">
    <w:abstractNumId w:val="8"/>
  </w:num>
  <w:num w:numId="5">
    <w:abstractNumId w:val="11"/>
  </w:num>
  <w:num w:numId="6">
    <w:abstractNumId w:val="1"/>
  </w:num>
  <w:num w:numId="7">
    <w:abstractNumId w:val="2"/>
  </w:num>
  <w:num w:numId="8">
    <w:abstractNumId w:val="4"/>
  </w:num>
  <w:num w:numId="9">
    <w:abstractNumId w:val="12"/>
  </w:num>
  <w:num w:numId="10">
    <w:abstractNumId w:val="6"/>
  </w:num>
  <w:num w:numId="11">
    <w:abstractNumId w:val="13"/>
  </w:num>
  <w:num w:numId="12">
    <w:abstractNumId w:val="9"/>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7F6"/>
    <w:rsid w:val="0000092F"/>
    <w:rsid w:val="000024B7"/>
    <w:rsid w:val="000069F2"/>
    <w:rsid w:val="00014CB1"/>
    <w:rsid w:val="00020906"/>
    <w:rsid w:val="00030AF1"/>
    <w:rsid w:val="00051191"/>
    <w:rsid w:val="00072267"/>
    <w:rsid w:val="000B00CD"/>
    <w:rsid w:val="000D3D8B"/>
    <w:rsid w:val="000F39D1"/>
    <w:rsid w:val="00102125"/>
    <w:rsid w:val="00110BED"/>
    <w:rsid w:val="00113BB2"/>
    <w:rsid w:val="001175E2"/>
    <w:rsid w:val="00125120"/>
    <w:rsid w:val="0012543C"/>
    <w:rsid w:val="00140BC5"/>
    <w:rsid w:val="00160905"/>
    <w:rsid w:val="00165D9D"/>
    <w:rsid w:val="0017246C"/>
    <w:rsid w:val="00172AA8"/>
    <w:rsid w:val="001879F5"/>
    <w:rsid w:val="001B54C0"/>
    <w:rsid w:val="001B7148"/>
    <w:rsid w:val="001C1961"/>
    <w:rsid w:val="001C225E"/>
    <w:rsid w:val="001D2DA2"/>
    <w:rsid w:val="001E3E84"/>
    <w:rsid w:val="001E4645"/>
    <w:rsid w:val="001F5227"/>
    <w:rsid w:val="00201BB9"/>
    <w:rsid w:val="00201CD4"/>
    <w:rsid w:val="00202B4A"/>
    <w:rsid w:val="00203F6D"/>
    <w:rsid w:val="002133F3"/>
    <w:rsid w:val="00216C48"/>
    <w:rsid w:val="00217928"/>
    <w:rsid w:val="00227566"/>
    <w:rsid w:val="002723B2"/>
    <w:rsid w:val="00275B22"/>
    <w:rsid w:val="002A67F6"/>
    <w:rsid w:val="002B0DD0"/>
    <w:rsid w:val="002B52E0"/>
    <w:rsid w:val="002C2AD4"/>
    <w:rsid w:val="002D2669"/>
    <w:rsid w:val="003243A0"/>
    <w:rsid w:val="003572F8"/>
    <w:rsid w:val="00364BA2"/>
    <w:rsid w:val="003A2038"/>
    <w:rsid w:val="003A255D"/>
    <w:rsid w:val="003C35B5"/>
    <w:rsid w:val="003C58B7"/>
    <w:rsid w:val="003D1D8E"/>
    <w:rsid w:val="003D3896"/>
    <w:rsid w:val="003D729F"/>
    <w:rsid w:val="003E700E"/>
    <w:rsid w:val="003F22EF"/>
    <w:rsid w:val="003F7A05"/>
    <w:rsid w:val="004346A6"/>
    <w:rsid w:val="00452EA7"/>
    <w:rsid w:val="004557D6"/>
    <w:rsid w:val="00475705"/>
    <w:rsid w:val="004A37B9"/>
    <w:rsid w:val="004B6E0F"/>
    <w:rsid w:val="004C580B"/>
    <w:rsid w:val="004C68D3"/>
    <w:rsid w:val="00513DEC"/>
    <w:rsid w:val="00575075"/>
    <w:rsid w:val="00581D4C"/>
    <w:rsid w:val="005A2B53"/>
    <w:rsid w:val="005A6F32"/>
    <w:rsid w:val="005B3219"/>
    <w:rsid w:val="005B5B97"/>
    <w:rsid w:val="005D51D3"/>
    <w:rsid w:val="005E1F28"/>
    <w:rsid w:val="005E2775"/>
    <w:rsid w:val="005E3D13"/>
    <w:rsid w:val="005E7D76"/>
    <w:rsid w:val="005E7FA4"/>
    <w:rsid w:val="006312D3"/>
    <w:rsid w:val="00653486"/>
    <w:rsid w:val="00676438"/>
    <w:rsid w:val="00683707"/>
    <w:rsid w:val="006F000D"/>
    <w:rsid w:val="007333E7"/>
    <w:rsid w:val="0074722F"/>
    <w:rsid w:val="007A1133"/>
    <w:rsid w:val="007A5644"/>
    <w:rsid w:val="007B04CB"/>
    <w:rsid w:val="007B24AD"/>
    <w:rsid w:val="007B279F"/>
    <w:rsid w:val="007B755A"/>
    <w:rsid w:val="007E10D5"/>
    <w:rsid w:val="007F3C40"/>
    <w:rsid w:val="008327C2"/>
    <w:rsid w:val="008342FA"/>
    <w:rsid w:val="00846D47"/>
    <w:rsid w:val="008624F3"/>
    <w:rsid w:val="00881022"/>
    <w:rsid w:val="008917C9"/>
    <w:rsid w:val="008A59F7"/>
    <w:rsid w:val="008A763E"/>
    <w:rsid w:val="008C1DDB"/>
    <w:rsid w:val="008C7F0C"/>
    <w:rsid w:val="008D09E6"/>
    <w:rsid w:val="008D71A2"/>
    <w:rsid w:val="009032D6"/>
    <w:rsid w:val="00917E2A"/>
    <w:rsid w:val="009264E7"/>
    <w:rsid w:val="00930D79"/>
    <w:rsid w:val="00951F5C"/>
    <w:rsid w:val="0097068B"/>
    <w:rsid w:val="00995701"/>
    <w:rsid w:val="009A3BDD"/>
    <w:rsid w:val="009B73E9"/>
    <w:rsid w:val="009E5C26"/>
    <w:rsid w:val="009F1850"/>
    <w:rsid w:val="00A03850"/>
    <w:rsid w:val="00A04FD6"/>
    <w:rsid w:val="00A13E8C"/>
    <w:rsid w:val="00A41EC8"/>
    <w:rsid w:val="00A90DC2"/>
    <w:rsid w:val="00A96F71"/>
    <w:rsid w:val="00AA2239"/>
    <w:rsid w:val="00AA36AA"/>
    <w:rsid w:val="00AA4072"/>
    <w:rsid w:val="00AC0A5A"/>
    <w:rsid w:val="00AC2D6E"/>
    <w:rsid w:val="00AC64A5"/>
    <w:rsid w:val="00AD0759"/>
    <w:rsid w:val="00AF605A"/>
    <w:rsid w:val="00AF6209"/>
    <w:rsid w:val="00B10142"/>
    <w:rsid w:val="00B65541"/>
    <w:rsid w:val="00B72DA3"/>
    <w:rsid w:val="00B81B17"/>
    <w:rsid w:val="00B94042"/>
    <w:rsid w:val="00B95CF0"/>
    <w:rsid w:val="00BA289E"/>
    <w:rsid w:val="00BC1C26"/>
    <w:rsid w:val="00BD02BE"/>
    <w:rsid w:val="00C2483A"/>
    <w:rsid w:val="00C35689"/>
    <w:rsid w:val="00C6295E"/>
    <w:rsid w:val="00C74EEB"/>
    <w:rsid w:val="00C816B8"/>
    <w:rsid w:val="00C9442A"/>
    <w:rsid w:val="00C9588B"/>
    <w:rsid w:val="00CB1D62"/>
    <w:rsid w:val="00CC4119"/>
    <w:rsid w:val="00CD295D"/>
    <w:rsid w:val="00CE470D"/>
    <w:rsid w:val="00D070A5"/>
    <w:rsid w:val="00D07FE4"/>
    <w:rsid w:val="00D10A2B"/>
    <w:rsid w:val="00D11449"/>
    <w:rsid w:val="00D1661B"/>
    <w:rsid w:val="00D254D5"/>
    <w:rsid w:val="00D25F61"/>
    <w:rsid w:val="00D44130"/>
    <w:rsid w:val="00D841CF"/>
    <w:rsid w:val="00D92B90"/>
    <w:rsid w:val="00D977A6"/>
    <w:rsid w:val="00DC241F"/>
    <w:rsid w:val="00DD0940"/>
    <w:rsid w:val="00DD766D"/>
    <w:rsid w:val="00E04069"/>
    <w:rsid w:val="00E11A39"/>
    <w:rsid w:val="00E70E7E"/>
    <w:rsid w:val="00E722B1"/>
    <w:rsid w:val="00E7680D"/>
    <w:rsid w:val="00E776FA"/>
    <w:rsid w:val="00E90AFD"/>
    <w:rsid w:val="00E939EC"/>
    <w:rsid w:val="00EC6394"/>
    <w:rsid w:val="00EE2CF6"/>
    <w:rsid w:val="00EE71CF"/>
    <w:rsid w:val="00EF1923"/>
    <w:rsid w:val="00F2415B"/>
    <w:rsid w:val="00F3029D"/>
    <w:rsid w:val="00F57712"/>
    <w:rsid w:val="00F577AA"/>
    <w:rsid w:val="00F912BE"/>
    <w:rsid w:val="00FD4D17"/>
    <w:rsid w:val="00FD5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BB8B2D-3502-4F52-84EE-295BBC13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rPr>
      <w:position w:val="6"/>
      <w:sz w:val="17"/>
    </w:rPr>
  </w:style>
  <w:style w:type="paragraph" w:styleId="FootnoteText">
    <w:name w:val="footnote text"/>
    <w:basedOn w:val="Normal"/>
    <w:link w:val="FootnoteTextChar"/>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link w:val="BodyTextChar"/>
    <w:qFormat/>
    <w:rsid w:val="002133F3"/>
    <w:pPr>
      <w:spacing w:before="0"/>
    </w:pPr>
  </w:style>
  <w:style w:type="paragraph" w:styleId="Subtitle">
    <w:name w:val="Subtitle"/>
    <w:basedOn w:val="Normal"/>
    <w:qFormat/>
    <w:rsid w:val="002133F3"/>
    <w:pPr>
      <w:spacing w:before="0"/>
      <w:jc w:val="center"/>
    </w:pPr>
    <w:rPr>
      <w:b/>
    </w:rPr>
  </w:style>
  <w:style w:type="character" w:customStyle="1" w:styleId="BodyTextChar">
    <w:name w:val="Body Text Char"/>
    <w:link w:val="BodyText"/>
    <w:rsid w:val="002A67F6"/>
    <w:rPr>
      <w:sz w:val="24"/>
    </w:rPr>
  </w:style>
  <w:style w:type="character" w:customStyle="1" w:styleId="FootnoteTextChar">
    <w:name w:val="Footnote Text Char"/>
    <w:link w:val="FootnoteText"/>
    <w:rsid w:val="002A67F6"/>
  </w:style>
  <w:style w:type="paragraph" w:styleId="ListParagraph">
    <w:name w:val="List Paragraph"/>
    <w:basedOn w:val="Normal"/>
    <w:uiPriority w:val="34"/>
    <w:qFormat/>
    <w:rsid w:val="008C1DDB"/>
    <w:pPr>
      <w:ind w:left="720"/>
      <w:contextualSpacing/>
    </w:pPr>
  </w:style>
  <w:style w:type="paragraph" w:styleId="BalloonText">
    <w:name w:val="Balloon Text"/>
    <w:basedOn w:val="Normal"/>
    <w:link w:val="BalloonTextChar"/>
    <w:rsid w:val="00575075"/>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rsid w:val="0057507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10637">
      <w:bodyDiv w:val="1"/>
      <w:marLeft w:val="0"/>
      <w:marRight w:val="0"/>
      <w:marTop w:val="0"/>
      <w:marBottom w:val="0"/>
      <w:divBdr>
        <w:top w:val="none" w:sz="0" w:space="0" w:color="auto"/>
        <w:left w:val="none" w:sz="0" w:space="0" w:color="auto"/>
        <w:bottom w:val="none" w:sz="0" w:space="0" w:color="auto"/>
        <w:right w:val="none" w:sz="0" w:space="0" w:color="auto"/>
      </w:divBdr>
      <w:divsChild>
        <w:div w:id="1615674239">
          <w:marLeft w:val="0"/>
          <w:marRight w:val="0"/>
          <w:marTop w:val="0"/>
          <w:marBottom w:val="0"/>
          <w:divBdr>
            <w:top w:val="none" w:sz="0" w:space="0" w:color="auto"/>
            <w:left w:val="none" w:sz="0" w:space="0" w:color="auto"/>
            <w:bottom w:val="none" w:sz="0" w:space="0" w:color="auto"/>
            <w:right w:val="none" w:sz="0" w:space="0" w:color="auto"/>
          </w:divBdr>
          <w:divsChild>
            <w:div w:id="679046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670115">
      <w:bodyDiv w:val="1"/>
      <w:marLeft w:val="0"/>
      <w:marRight w:val="0"/>
      <w:marTop w:val="0"/>
      <w:marBottom w:val="0"/>
      <w:divBdr>
        <w:top w:val="none" w:sz="0" w:space="0" w:color="auto"/>
        <w:left w:val="none" w:sz="0" w:space="0" w:color="auto"/>
        <w:bottom w:val="none" w:sz="0" w:space="0" w:color="auto"/>
        <w:right w:val="none" w:sz="0" w:space="0" w:color="auto"/>
      </w:divBdr>
      <w:divsChild>
        <w:div w:id="435564875">
          <w:marLeft w:val="0"/>
          <w:marRight w:val="0"/>
          <w:marTop w:val="0"/>
          <w:marBottom w:val="0"/>
          <w:divBdr>
            <w:top w:val="none" w:sz="0" w:space="0" w:color="auto"/>
            <w:left w:val="single" w:sz="6" w:space="0" w:color="BBBBBB"/>
            <w:bottom w:val="single" w:sz="6" w:space="0" w:color="BBBBBB"/>
            <w:right w:val="single" w:sz="6" w:space="0" w:color="BBBBBB"/>
          </w:divBdr>
          <w:divsChild>
            <w:div w:id="801925275">
              <w:marLeft w:val="0"/>
              <w:marRight w:val="0"/>
              <w:marTop w:val="0"/>
              <w:marBottom w:val="0"/>
              <w:divBdr>
                <w:top w:val="none" w:sz="0" w:space="0" w:color="auto"/>
                <w:left w:val="none" w:sz="0" w:space="0" w:color="auto"/>
                <w:bottom w:val="none" w:sz="0" w:space="0" w:color="auto"/>
                <w:right w:val="none" w:sz="0" w:space="0" w:color="auto"/>
              </w:divBdr>
              <w:divsChild>
                <w:div w:id="2141146285">
                  <w:marLeft w:val="0"/>
                  <w:marRight w:val="0"/>
                  <w:marTop w:val="0"/>
                  <w:marBottom w:val="0"/>
                  <w:divBdr>
                    <w:top w:val="none" w:sz="0" w:space="0" w:color="auto"/>
                    <w:left w:val="none" w:sz="0" w:space="0" w:color="auto"/>
                    <w:bottom w:val="none" w:sz="0" w:space="0" w:color="auto"/>
                    <w:right w:val="none" w:sz="0" w:space="0" w:color="auto"/>
                  </w:divBdr>
                  <w:divsChild>
                    <w:div w:id="482626191">
                      <w:marLeft w:val="0"/>
                      <w:marRight w:val="0"/>
                      <w:marTop w:val="0"/>
                      <w:marBottom w:val="0"/>
                      <w:divBdr>
                        <w:top w:val="none" w:sz="0" w:space="0" w:color="auto"/>
                        <w:left w:val="none" w:sz="0" w:space="0" w:color="auto"/>
                        <w:bottom w:val="none" w:sz="0" w:space="0" w:color="auto"/>
                        <w:right w:val="none" w:sz="0" w:space="0" w:color="auto"/>
                      </w:divBdr>
                      <w:divsChild>
                        <w:div w:id="124006901">
                          <w:marLeft w:val="0"/>
                          <w:marRight w:val="0"/>
                          <w:marTop w:val="0"/>
                          <w:marBottom w:val="0"/>
                          <w:divBdr>
                            <w:top w:val="none" w:sz="0" w:space="0" w:color="auto"/>
                            <w:left w:val="none" w:sz="0" w:space="0" w:color="auto"/>
                            <w:bottom w:val="none" w:sz="0" w:space="0" w:color="auto"/>
                            <w:right w:val="none" w:sz="0" w:space="0" w:color="auto"/>
                          </w:divBdr>
                          <w:divsChild>
                            <w:div w:id="1221594230">
                              <w:marLeft w:val="0"/>
                              <w:marRight w:val="0"/>
                              <w:marTop w:val="0"/>
                              <w:marBottom w:val="0"/>
                              <w:divBdr>
                                <w:top w:val="none" w:sz="0" w:space="0" w:color="auto"/>
                                <w:left w:val="none" w:sz="0" w:space="0" w:color="auto"/>
                                <w:bottom w:val="none" w:sz="0" w:space="0" w:color="auto"/>
                                <w:right w:val="none" w:sz="0" w:space="0" w:color="auto"/>
                              </w:divBdr>
                              <w:divsChild>
                                <w:div w:id="241912692">
                                  <w:marLeft w:val="0"/>
                                  <w:marRight w:val="0"/>
                                  <w:marTop w:val="0"/>
                                  <w:marBottom w:val="0"/>
                                  <w:divBdr>
                                    <w:top w:val="none" w:sz="0" w:space="0" w:color="auto"/>
                                    <w:left w:val="none" w:sz="0" w:space="0" w:color="auto"/>
                                    <w:bottom w:val="none" w:sz="0" w:space="0" w:color="auto"/>
                                    <w:right w:val="none" w:sz="0" w:space="0" w:color="auto"/>
                                  </w:divBdr>
                                  <w:divsChild>
                                    <w:div w:id="849224183">
                                      <w:marLeft w:val="0"/>
                                      <w:marRight w:val="0"/>
                                      <w:marTop w:val="0"/>
                                      <w:marBottom w:val="0"/>
                                      <w:divBdr>
                                        <w:top w:val="none" w:sz="0" w:space="0" w:color="auto"/>
                                        <w:left w:val="none" w:sz="0" w:space="0" w:color="auto"/>
                                        <w:bottom w:val="none" w:sz="0" w:space="0" w:color="auto"/>
                                        <w:right w:val="none" w:sz="0" w:space="0" w:color="auto"/>
                                      </w:divBdr>
                                      <w:divsChild>
                                        <w:div w:id="700479111">
                                          <w:marLeft w:val="1200"/>
                                          <w:marRight w:val="1200"/>
                                          <w:marTop w:val="0"/>
                                          <w:marBottom w:val="0"/>
                                          <w:divBdr>
                                            <w:top w:val="none" w:sz="0" w:space="0" w:color="auto"/>
                                            <w:left w:val="none" w:sz="0" w:space="0" w:color="auto"/>
                                            <w:bottom w:val="none" w:sz="0" w:space="0" w:color="auto"/>
                                            <w:right w:val="none" w:sz="0" w:space="0" w:color="auto"/>
                                          </w:divBdr>
                                          <w:divsChild>
                                            <w:div w:id="2142264928">
                                              <w:marLeft w:val="0"/>
                                              <w:marRight w:val="0"/>
                                              <w:marTop w:val="0"/>
                                              <w:marBottom w:val="0"/>
                                              <w:divBdr>
                                                <w:top w:val="none" w:sz="0" w:space="0" w:color="auto"/>
                                                <w:left w:val="none" w:sz="0" w:space="0" w:color="auto"/>
                                                <w:bottom w:val="none" w:sz="0" w:space="0" w:color="auto"/>
                                                <w:right w:val="none" w:sz="0" w:space="0" w:color="auto"/>
                                              </w:divBdr>
                                              <w:divsChild>
                                                <w:div w:id="1412658211">
                                                  <w:marLeft w:val="0"/>
                                                  <w:marRight w:val="0"/>
                                                  <w:marTop w:val="240"/>
                                                  <w:marBottom w:val="0"/>
                                                  <w:divBdr>
                                                    <w:top w:val="none" w:sz="0" w:space="0" w:color="auto"/>
                                                    <w:left w:val="none" w:sz="0" w:space="0" w:color="auto"/>
                                                    <w:bottom w:val="none" w:sz="0" w:space="0" w:color="auto"/>
                                                    <w:right w:val="none" w:sz="0" w:space="0" w:color="auto"/>
                                                  </w:divBdr>
                                                  <w:divsChild>
                                                    <w:div w:id="965114053">
                                                      <w:marLeft w:val="0"/>
                                                      <w:marRight w:val="0"/>
                                                      <w:marTop w:val="0"/>
                                                      <w:marBottom w:val="0"/>
                                                      <w:divBdr>
                                                        <w:top w:val="none" w:sz="0" w:space="0" w:color="auto"/>
                                                        <w:left w:val="none" w:sz="0" w:space="0" w:color="auto"/>
                                                        <w:bottom w:val="none" w:sz="0" w:space="0" w:color="auto"/>
                                                        <w:right w:val="none" w:sz="0" w:space="0" w:color="auto"/>
                                                      </w:divBdr>
                                                      <w:divsChild>
                                                        <w:div w:id="106774007">
                                                          <w:marLeft w:val="1275"/>
                                                          <w:marRight w:val="0"/>
                                                          <w:marTop w:val="0"/>
                                                          <w:marBottom w:val="0"/>
                                                          <w:divBdr>
                                                            <w:top w:val="none" w:sz="0" w:space="0" w:color="auto"/>
                                                            <w:left w:val="none" w:sz="0" w:space="0" w:color="auto"/>
                                                            <w:bottom w:val="none" w:sz="0" w:space="0" w:color="auto"/>
                                                            <w:right w:val="none" w:sz="0" w:space="0" w:color="auto"/>
                                                          </w:divBdr>
                                                          <w:divsChild>
                                                            <w:div w:id="1049459310">
                                                              <w:marLeft w:val="0"/>
                                                              <w:marRight w:val="0"/>
                                                              <w:marTop w:val="0"/>
                                                              <w:marBottom w:val="0"/>
                                                              <w:divBdr>
                                                                <w:top w:val="none" w:sz="0" w:space="0" w:color="auto"/>
                                                                <w:left w:val="none" w:sz="0" w:space="0" w:color="auto"/>
                                                                <w:bottom w:val="none" w:sz="0" w:space="0" w:color="auto"/>
                                                                <w:right w:val="none" w:sz="0" w:space="0" w:color="auto"/>
                                                              </w:divBdr>
                                                              <w:divsChild>
                                                                <w:div w:id="16989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02215809">
      <w:bodyDiv w:val="1"/>
      <w:marLeft w:val="0"/>
      <w:marRight w:val="0"/>
      <w:marTop w:val="0"/>
      <w:marBottom w:val="0"/>
      <w:divBdr>
        <w:top w:val="none" w:sz="0" w:space="0" w:color="auto"/>
        <w:left w:val="none" w:sz="0" w:space="0" w:color="auto"/>
        <w:bottom w:val="none" w:sz="0" w:space="0" w:color="auto"/>
        <w:right w:val="none" w:sz="0" w:space="0" w:color="auto"/>
      </w:divBdr>
      <w:divsChild>
        <w:div w:id="1057120318">
          <w:marLeft w:val="0"/>
          <w:marRight w:val="0"/>
          <w:marTop w:val="0"/>
          <w:marBottom w:val="0"/>
          <w:divBdr>
            <w:top w:val="none" w:sz="0" w:space="0" w:color="auto"/>
            <w:left w:val="none" w:sz="0" w:space="0" w:color="auto"/>
            <w:bottom w:val="none" w:sz="0" w:space="0" w:color="auto"/>
            <w:right w:val="none" w:sz="0" w:space="0" w:color="auto"/>
          </w:divBdr>
          <w:divsChild>
            <w:div w:id="49087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937145">
      <w:bodyDiv w:val="1"/>
      <w:marLeft w:val="0"/>
      <w:marRight w:val="0"/>
      <w:marTop w:val="0"/>
      <w:marBottom w:val="0"/>
      <w:divBdr>
        <w:top w:val="none" w:sz="0" w:space="0" w:color="auto"/>
        <w:left w:val="none" w:sz="0" w:space="0" w:color="auto"/>
        <w:bottom w:val="none" w:sz="0" w:space="0" w:color="auto"/>
        <w:right w:val="none" w:sz="0" w:space="0" w:color="auto"/>
      </w:divBdr>
      <w:divsChild>
        <w:div w:id="869956602">
          <w:marLeft w:val="0"/>
          <w:marRight w:val="0"/>
          <w:marTop w:val="0"/>
          <w:marBottom w:val="0"/>
          <w:divBdr>
            <w:top w:val="none" w:sz="0" w:space="0" w:color="auto"/>
            <w:left w:val="none" w:sz="0" w:space="0" w:color="auto"/>
            <w:bottom w:val="none" w:sz="0" w:space="0" w:color="auto"/>
            <w:right w:val="none" w:sz="0" w:space="0" w:color="auto"/>
          </w:divBdr>
          <w:divsChild>
            <w:div w:id="162715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813367">
      <w:bodyDiv w:val="1"/>
      <w:marLeft w:val="0"/>
      <w:marRight w:val="0"/>
      <w:marTop w:val="0"/>
      <w:marBottom w:val="0"/>
      <w:divBdr>
        <w:top w:val="none" w:sz="0" w:space="0" w:color="auto"/>
        <w:left w:val="none" w:sz="0" w:space="0" w:color="auto"/>
        <w:bottom w:val="none" w:sz="0" w:space="0" w:color="auto"/>
        <w:right w:val="none" w:sz="0" w:space="0" w:color="auto"/>
      </w:divBdr>
      <w:divsChild>
        <w:div w:id="723912730">
          <w:marLeft w:val="0"/>
          <w:marRight w:val="0"/>
          <w:marTop w:val="0"/>
          <w:marBottom w:val="0"/>
          <w:divBdr>
            <w:top w:val="none" w:sz="0" w:space="0" w:color="auto"/>
            <w:left w:val="single" w:sz="6" w:space="0" w:color="BBBBBB"/>
            <w:bottom w:val="single" w:sz="6" w:space="0" w:color="BBBBBB"/>
            <w:right w:val="single" w:sz="6" w:space="0" w:color="BBBBBB"/>
          </w:divBdr>
          <w:divsChild>
            <w:div w:id="388000036">
              <w:marLeft w:val="0"/>
              <w:marRight w:val="0"/>
              <w:marTop w:val="0"/>
              <w:marBottom w:val="0"/>
              <w:divBdr>
                <w:top w:val="none" w:sz="0" w:space="0" w:color="auto"/>
                <w:left w:val="none" w:sz="0" w:space="0" w:color="auto"/>
                <w:bottom w:val="none" w:sz="0" w:space="0" w:color="auto"/>
                <w:right w:val="none" w:sz="0" w:space="0" w:color="auto"/>
              </w:divBdr>
              <w:divsChild>
                <w:div w:id="337847319">
                  <w:marLeft w:val="0"/>
                  <w:marRight w:val="0"/>
                  <w:marTop w:val="0"/>
                  <w:marBottom w:val="0"/>
                  <w:divBdr>
                    <w:top w:val="none" w:sz="0" w:space="0" w:color="auto"/>
                    <w:left w:val="none" w:sz="0" w:space="0" w:color="auto"/>
                    <w:bottom w:val="none" w:sz="0" w:space="0" w:color="auto"/>
                    <w:right w:val="none" w:sz="0" w:space="0" w:color="auto"/>
                  </w:divBdr>
                  <w:divsChild>
                    <w:div w:id="1715077794">
                      <w:marLeft w:val="0"/>
                      <w:marRight w:val="0"/>
                      <w:marTop w:val="0"/>
                      <w:marBottom w:val="0"/>
                      <w:divBdr>
                        <w:top w:val="none" w:sz="0" w:space="0" w:color="auto"/>
                        <w:left w:val="none" w:sz="0" w:space="0" w:color="auto"/>
                        <w:bottom w:val="none" w:sz="0" w:space="0" w:color="auto"/>
                        <w:right w:val="none" w:sz="0" w:space="0" w:color="auto"/>
                      </w:divBdr>
                      <w:divsChild>
                        <w:div w:id="541555953">
                          <w:marLeft w:val="0"/>
                          <w:marRight w:val="0"/>
                          <w:marTop w:val="0"/>
                          <w:marBottom w:val="0"/>
                          <w:divBdr>
                            <w:top w:val="none" w:sz="0" w:space="0" w:color="auto"/>
                            <w:left w:val="none" w:sz="0" w:space="0" w:color="auto"/>
                            <w:bottom w:val="none" w:sz="0" w:space="0" w:color="auto"/>
                            <w:right w:val="none" w:sz="0" w:space="0" w:color="auto"/>
                          </w:divBdr>
                          <w:divsChild>
                            <w:div w:id="811875186">
                              <w:marLeft w:val="0"/>
                              <w:marRight w:val="0"/>
                              <w:marTop w:val="0"/>
                              <w:marBottom w:val="0"/>
                              <w:divBdr>
                                <w:top w:val="none" w:sz="0" w:space="0" w:color="auto"/>
                                <w:left w:val="none" w:sz="0" w:space="0" w:color="auto"/>
                                <w:bottom w:val="none" w:sz="0" w:space="0" w:color="auto"/>
                                <w:right w:val="none" w:sz="0" w:space="0" w:color="auto"/>
                              </w:divBdr>
                              <w:divsChild>
                                <w:div w:id="793716840">
                                  <w:marLeft w:val="0"/>
                                  <w:marRight w:val="0"/>
                                  <w:marTop w:val="0"/>
                                  <w:marBottom w:val="0"/>
                                  <w:divBdr>
                                    <w:top w:val="none" w:sz="0" w:space="0" w:color="auto"/>
                                    <w:left w:val="none" w:sz="0" w:space="0" w:color="auto"/>
                                    <w:bottom w:val="none" w:sz="0" w:space="0" w:color="auto"/>
                                    <w:right w:val="none" w:sz="0" w:space="0" w:color="auto"/>
                                  </w:divBdr>
                                  <w:divsChild>
                                    <w:div w:id="1580367405">
                                      <w:marLeft w:val="0"/>
                                      <w:marRight w:val="0"/>
                                      <w:marTop w:val="0"/>
                                      <w:marBottom w:val="0"/>
                                      <w:divBdr>
                                        <w:top w:val="none" w:sz="0" w:space="0" w:color="auto"/>
                                        <w:left w:val="none" w:sz="0" w:space="0" w:color="auto"/>
                                        <w:bottom w:val="none" w:sz="0" w:space="0" w:color="auto"/>
                                        <w:right w:val="none" w:sz="0" w:space="0" w:color="auto"/>
                                      </w:divBdr>
                                      <w:divsChild>
                                        <w:div w:id="1958171156">
                                          <w:marLeft w:val="1200"/>
                                          <w:marRight w:val="1200"/>
                                          <w:marTop w:val="0"/>
                                          <w:marBottom w:val="0"/>
                                          <w:divBdr>
                                            <w:top w:val="none" w:sz="0" w:space="0" w:color="auto"/>
                                            <w:left w:val="none" w:sz="0" w:space="0" w:color="auto"/>
                                            <w:bottom w:val="none" w:sz="0" w:space="0" w:color="auto"/>
                                            <w:right w:val="none" w:sz="0" w:space="0" w:color="auto"/>
                                          </w:divBdr>
                                          <w:divsChild>
                                            <w:div w:id="360128547">
                                              <w:marLeft w:val="0"/>
                                              <w:marRight w:val="0"/>
                                              <w:marTop w:val="0"/>
                                              <w:marBottom w:val="0"/>
                                              <w:divBdr>
                                                <w:top w:val="none" w:sz="0" w:space="0" w:color="auto"/>
                                                <w:left w:val="none" w:sz="0" w:space="0" w:color="auto"/>
                                                <w:bottom w:val="none" w:sz="0" w:space="0" w:color="auto"/>
                                                <w:right w:val="none" w:sz="0" w:space="0" w:color="auto"/>
                                              </w:divBdr>
                                              <w:divsChild>
                                                <w:div w:id="1874733696">
                                                  <w:marLeft w:val="0"/>
                                                  <w:marRight w:val="0"/>
                                                  <w:marTop w:val="240"/>
                                                  <w:marBottom w:val="0"/>
                                                  <w:divBdr>
                                                    <w:top w:val="none" w:sz="0" w:space="0" w:color="auto"/>
                                                    <w:left w:val="none" w:sz="0" w:space="0" w:color="auto"/>
                                                    <w:bottom w:val="none" w:sz="0" w:space="0" w:color="auto"/>
                                                    <w:right w:val="none" w:sz="0" w:space="0" w:color="auto"/>
                                                  </w:divBdr>
                                                  <w:divsChild>
                                                    <w:div w:id="699552870">
                                                      <w:marLeft w:val="0"/>
                                                      <w:marRight w:val="0"/>
                                                      <w:marTop w:val="0"/>
                                                      <w:marBottom w:val="0"/>
                                                      <w:divBdr>
                                                        <w:top w:val="none" w:sz="0" w:space="0" w:color="auto"/>
                                                        <w:left w:val="none" w:sz="0" w:space="0" w:color="auto"/>
                                                        <w:bottom w:val="none" w:sz="0" w:space="0" w:color="auto"/>
                                                        <w:right w:val="none" w:sz="0" w:space="0" w:color="auto"/>
                                                      </w:divBdr>
                                                      <w:divsChild>
                                                        <w:div w:id="710153088">
                                                          <w:marLeft w:val="1275"/>
                                                          <w:marRight w:val="0"/>
                                                          <w:marTop w:val="0"/>
                                                          <w:marBottom w:val="0"/>
                                                          <w:divBdr>
                                                            <w:top w:val="none" w:sz="0" w:space="0" w:color="auto"/>
                                                            <w:left w:val="none" w:sz="0" w:space="0" w:color="auto"/>
                                                            <w:bottom w:val="none" w:sz="0" w:space="0" w:color="auto"/>
                                                            <w:right w:val="none" w:sz="0" w:space="0" w:color="auto"/>
                                                          </w:divBdr>
                                                          <w:divsChild>
                                                            <w:div w:id="915361278">
                                                              <w:marLeft w:val="0"/>
                                                              <w:marRight w:val="0"/>
                                                              <w:marTop w:val="0"/>
                                                              <w:marBottom w:val="0"/>
                                                              <w:divBdr>
                                                                <w:top w:val="none" w:sz="0" w:space="0" w:color="auto"/>
                                                                <w:left w:val="none" w:sz="0" w:space="0" w:color="auto"/>
                                                                <w:bottom w:val="none" w:sz="0" w:space="0" w:color="auto"/>
                                                                <w:right w:val="none" w:sz="0" w:space="0" w:color="auto"/>
                                                              </w:divBdr>
                                                              <w:divsChild>
                                                                <w:div w:id="109281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68705093">
      <w:bodyDiv w:val="1"/>
      <w:marLeft w:val="0"/>
      <w:marRight w:val="0"/>
      <w:marTop w:val="0"/>
      <w:marBottom w:val="0"/>
      <w:divBdr>
        <w:top w:val="none" w:sz="0" w:space="0" w:color="auto"/>
        <w:left w:val="none" w:sz="0" w:space="0" w:color="auto"/>
        <w:bottom w:val="none" w:sz="0" w:space="0" w:color="auto"/>
        <w:right w:val="none" w:sz="0" w:space="0" w:color="auto"/>
      </w:divBdr>
      <w:divsChild>
        <w:div w:id="905140032">
          <w:marLeft w:val="0"/>
          <w:marRight w:val="0"/>
          <w:marTop w:val="0"/>
          <w:marBottom w:val="0"/>
          <w:divBdr>
            <w:top w:val="none" w:sz="0" w:space="0" w:color="auto"/>
            <w:left w:val="none" w:sz="0" w:space="0" w:color="auto"/>
            <w:bottom w:val="none" w:sz="0" w:space="0" w:color="auto"/>
            <w:right w:val="none" w:sz="0" w:space="0" w:color="auto"/>
          </w:divBdr>
          <w:divsChild>
            <w:div w:id="122036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A0395-FE5A-4EAE-B5E4-44F379F0B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333</TotalTime>
  <Pages>6</Pages>
  <Words>1409</Words>
  <Characters>8036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9427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subject/>
  <dc:creator>PUCTX</dc:creator>
  <cp:keywords/>
  <cp:lastModifiedBy>Dwyer, Davida</cp:lastModifiedBy>
  <cp:revision>55</cp:revision>
  <cp:lastPrinted>2016-07-13T19:54:00Z</cp:lastPrinted>
  <dcterms:created xsi:type="dcterms:W3CDTF">2016-07-12T19:18:00Z</dcterms:created>
  <dcterms:modified xsi:type="dcterms:W3CDTF">2016-07-13T20:00:00Z</dcterms:modified>
</cp:coreProperties>
</file>